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00" w:type="dxa"/>
        <w:tblInd w:w="-93" w:type="dxa"/>
        <w:tblLayout w:type="fixed"/>
        <w:tblLook w:val="0000"/>
      </w:tblPr>
      <w:tblGrid>
        <w:gridCol w:w="3571"/>
        <w:gridCol w:w="5829"/>
      </w:tblGrid>
      <w:tr w:rsidR="00801F12" w:rsidRPr="009A27AD" w:rsidTr="00693809">
        <w:trPr>
          <w:trHeight w:val="1144"/>
        </w:trPr>
        <w:tc>
          <w:tcPr>
            <w:tcW w:w="3571" w:type="dxa"/>
          </w:tcPr>
          <w:p w:rsidR="00801F12" w:rsidRPr="009A27AD" w:rsidRDefault="00801F12" w:rsidP="00693809">
            <w:pPr>
              <w:jc w:val="center"/>
              <w:rPr>
                <w:b/>
                <w:bCs/>
                <w:sz w:val="26"/>
                <w:szCs w:val="26"/>
              </w:rPr>
            </w:pPr>
            <w:r w:rsidRPr="009A27AD">
              <w:rPr>
                <w:b/>
                <w:bCs/>
                <w:sz w:val="26"/>
                <w:szCs w:val="26"/>
              </w:rPr>
              <w:t>UỶ BAN NHÂN DÂN</w:t>
            </w:r>
          </w:p>
          <w:p w:rsidR="00801F12" w:rsidRPr="009A27AD" w:rsidRDefault="00801F12" w:rsidP="00693809">
            <w:pPr>
              <w:jc w:val="center"/>
              <w:rPr>
                <w:b/>
                <w:bCs/>
                <w:sz w:val="26"/>
                <w:szCs w:val="26"/>
              </w:rPr>
            </w:pPr>
            <w:r w:rsidRPr="009A27AD">
              <w:rPr>
                <w:b/>
                <w:bCs/>
                <w:sz w:val="26"/>
                <w:szCs w:val="26"/>
              </w:rPr>
              <w:t>TỈNH HÀ TĨNH</w:t>
            </w:r>
          </w:p>
          <w:p w:rsidR="00801F12" w:rsidRPr="009A27AD" w:rsidRDefault="00B927C0" w:rsidP="00693809">
            <w:pPr>
              <w:jc w:val="center"/>
              <w:rPr>
                <w:sz w:val="26"/>
                <w:szCs w:val="26"/>
              </w:rPr>
            </w:pPr>
            <w:r>
              <w:rPr>
                <w:noProof/>
                <w:sz w:val="26"/>
                <w:szCs w:val="26"/>
              </w:rPr>
              <w:pict>
                <v:line id="_x0000_s1028" style="position:absolute;left:0;text-align:left;z-index:251662336" from="64.6pt,1.2pt" to="106.95pt,1.2pt"/>
              </w:pict>
            </w:r>
          </w:p>
          <w:p w:rsidR="00801F12" w:rsidRPr="009A27AD" w:rsidRDefault="00801F12" w:rsidP="00693809">
            <w:pPr>
              <w:jc w:val="center"/>
              <w:rPr>
                <w:sz w:val="26"/>
                <w:szCs w:val="26"/>
                <w:vertAlign w:val="subscript"/>
              </w:rPr>
            </w:pPr>
            <w:r w:rsidRPr="009A27AD">
              <w:rPr>
                <w:sz w:val="26"/>
                <w:szCs w:val="26"/>
              </w:rPr>
              <w:t>Số: ……./201</w:t>
            </w:r>
            <w:r>
              <w:rPr>
                <w:sz w:val="26"/>
                <w:szCs w:val="26"/>
              </w:rPr>
              <w:t>6</w:t>
            </w:r>
            <w:r w:rsidRPr="009A27AD">
              <w:rPr>
                <w:sz w:val="26"/>
                <w:szCs w:val="26"/>
              </w:rPr>
              <w:t>/QĐ-UBND</w:t>
            </w:r>
          </w:p>
        </w:tc>
        <w:tc>
          <w:tcPr>
            <w:tcW w:w="5829" w:type="dxa"/>
          </w:tcPr>
          <w:p w:rsidR="00801F12" w:rsidRPr="009A27AD" w:rsidRDefault="00801F12" w:rsidP="00693809">
            <w:pPr>
              <w:keepNext/>
              <w:jc w:val="both"/>
              <w:outlineLvl w:val="0"/>
              <w:rPr>
                <w:b/>
                <w:bCs/>
                <w:spacing w:val="-6"/>
                <w:sz w:val="26"/>
                <w:szCs w:val="26"/>
              </w:rPr>
            </w:pPr>
            <w:r w:rsidRPr="009A27AD">
              <w:rPr>
                <w:b/>
                <w:bCs/>
                <w:spacing w:val="-6"/>
                <w:sz w:val="26"/>
                <w:szCs w:val="26"/>
              </w:rPr>
              <w:t xml:space="preserve">  CỘNG HÒA XÃ HỘI CHỦ NGHĨA VIỆT NAM</w:t>
            </w:r>
          </w:p>
          <w:p w:rsidR="00801F12" w:rsidRPr="009A27AD" w:rsidRDefault="00801F12" w:rsidP="00693809">
            <w:pPr>
              <w:ind w:left="720" w:hanging="720"/>
              <w:jc w:val="both"/>
              <w:rPr>
                <w:b/>
                <w:bCs/>
                <w:sz w:val="26"/>
              </w:rPr>
            </w:pPr>
            <w:r w:rsidRPr="009A27AD">
              <w:rPr>
                <w:sz w:val="26"/>
              </w:rPr>
              <w:t xml:space="preserve">                  </w:t>
            </w:r>
            <w:r w:rsidRPr="009A27AD">
              <w:rPr>
                <w:b/>
                <w:bCs/>
                <w:sz w:val="26"/>
              </w:rPr>
              <w:t>Độc lập - Tự do - Hạnh phúc</w:t>
            </w:r>
          </w:p>
          <w:p w:rsidR="00801F12" w:rsidRPr="009A27AD" w:rsidRDefault="00B927C0" w:rsidP="00693809">
            <w:pPr>
              <w:keepNext/>
              <w:ind w:left="720"/>
              <w:jc w:val="both"/>
              <w:outlineLvl w:val="0"/>
              <w:rPr>
                <w:b/>
                <w:bCs/>
                <w:i/>
                <w:iCs/>
                <w:sz w:val="26"/>
              </w:rPr>
            </w:pPr>
            <w:r>
              <w:rPr>
                <w:b/>
                <w:bCs/>
                <w:i/>
                <w:iCs/>
                <w:noProof/>
                <w:sz w:val="26"/>
              </w:rPr>
              <w:pict>
                <v:line id="_x0000_s1027" style="position:absolute;left:0;text-align:left;z-index:251661312" from="58.25pt,1.15pt" to="215.7pt,1.15pt"/>
              </w:pict>
            </w:r>
          </w:p>
          <w:p w:rsidR="00801F12" w:rsidRPr="009A27AD" w:rsidRDefault="00801F12" w:rsidP="002269ED">
            <w:pPr>
              <w:keepNext/>
              <w:jc w:val="center"/>
              <w:outlineLvl w:val="6"/>
              <w:rPr>
                <w:i/>
                <w:iCs/>
                <w:sz w:val="26"/>
              </w:rPr>
            </w:pPr>
            <w:r w:rsidRPr="009A27AD">
              <w:rPr>
                <w:i/>
                <w:iCs/>
                <w:sz w:val="26"/>
              </w:rPr>
              <w:t xml:space="preserve">                 Hà Tĩnh, ngày </w:t>
            </w:r>
            <w:r>
              <w:rPr>
                <w:i/>
                <w:iCs/>
                <w:sz w:val="26"/>
              </w:rPr>
              <w:t xml:space="preserve">     </w:t>
            </w:r>
            <w:r w:rsidRPr="009A27AD">
              <w:rPr>
                <w:i/>
                <w:iCs/>
                <w:sz w:val="26"/>
              </w:rPr>
              <w:t xml:space="preserve"> tháng </w:t>
            </w:r>
            <w:r w:rsidR="002269ED">
              <w:rPr>
                <w:i/>
                <w:iCs/>
                <w:sz w:val="26"/>
              </w:rPr>
              <w:t>3</w:t>
            </w:r>
            <w:r w:rsidRPr="009A27AD">
              <w:rPr>
                <w:i/>
                <w:iCs/>
                <w:sz w:val="26"/>
              </w:rPr>
              <w:t xml:space="preserve"> năm 201</w:t>
            </w:r>
            <w:r>
              <w:rPr>
                <w:i/>
                <w:iCs/>
                <w:sz w:val="26"/>
              </w:rPr>
              <w:t>6</w:t>
            </w:r>
          </w:p>
        </w:tc>
      </w:tr>
    </w:tbl>
    <w:p w:rsidR="00801F12" w:rsidRPr="009A27AD" w:rsidRDefault="00B927C0" w:rsidP="00801F12">
      <w:pPr>
        <w:pStyle w:val="quyetdinh"/>
        <w:spacing w:before="40" w:after="0" w:line="240" w:lineRule="auto"/>
        <w:ind w:firstLine="720"/>
        <w:rPr>
          <w:rFonts w:ascii="Times New Roman" w:hAnsi="Times New Roman" w:cs="Times New Roman"/>
        </w:rPr>
      </w:pPr>
      <w:r w:rsidRPr="00B927C0">
        <w:rPr>
          <w:rFonts w:ascii="Times New Roman" w:hAnsi="Times New Roman" w:cs="Times New Roman"/>
          <w:noProof/>
          <w:lang w:val="vi-VN" w:eastAsia="vi-VN"/>
        </w:rPr>
        <w:pict>
          <v:rect id="_x0000_s1031" style="position:absolute;left:0;text-align:left;margin-left:-51.65pt;margin-top:3pt;width:129.6pt;height:28.25pt;z-index:251665408;mso-position-horizontal-relative:text;mso-position-vertical-relative:text">
            <v:textbox style="mso-next-textbox:#_x0000_s1031">
              <w:txbxContent>
                <w:p w:rsidR="00801F12" w:rsidRPr="0023053B" w:rsidRDefault="00801F12" w:rsidP="00801F12">
                  <w:pPr>
                    <w:jc w:val="center"/>
                    <w:rPr>
                      <w:b/>
                      <w:sz w:val="28"/>
                    </w:rPr>
                  </w:pPr>
                  <w:r>
                    <w:rPr>
                      <w:b/>
                      <w:sz w:val="28"/>
                    </w:rPr>
                    <w:t>DỰ THẢO</w:t>
                  </w:r>
                </w:p>
              </w:txbxContent>
            </v:textbox>
          </v:rect>
        </w:pict>
      </w:r>
    </w:p>
    <w:p w:rsidR="00801F12" w:rsidRPr="009A27AD" w:rsidRDefault="00801F12" w:rsidP="00801F12">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240" w:lineRule="auto"/>
        <w:rPr>
          <w:rFonts w:ascii="Times New Roman" w:hAnsi="Times New Roman" w:cs="Times New Roman"/>
        </w:rPr>
      </w:pPr>
      <w:r w:rsidRPr="009A27AD">
        <w:rPr>
          <w:rFonts w:ascii="Times New Roman" w:hAnsi="Times New Roman" w:cs="Times New Roman"/>
        </w:rPr>
        <w:t>QUYẾT ĐỊNH</w:t>
      </w:r>
    </w:p>
    <w:p w:rsidR="00801F12" w:rsidRDefault="00801F12" w:rsidP="00801F12">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240" w:lineRule="auto"/>
        <w:rPr>
          <w:rFonts w:ascii="Times New Roman" w:hAnsi="Times New Roman" w:cs="Times New Roman"/>
        </w:rPr>
      </w:pPr>
      <w:r w:rsidRPr="009A27AD">
        <w:rPr>
          <w:rFonts w:ascii="Times New Roman" w:hAnsi="Times New Roman" w:cs="Times New Roman"/>
        </w:rPr>
        <w:t xml:space="preserve">Về việc ban hành </w:t>
      </w:r>
      <w:r>
        <w:rPr>
          <w:rFonts w:ascii="Times New Roman" w:hAnsi="Times New Roman" w:cs="Times New Roman"/>
        </w:rPr>
        <w:t>Quy định tạm thời về tiêu chí huyện nông thôn mới</w:t>
      </w:r>
    </w:p>
    <w:p w:rsidR="00801F12" w:rsidRPr="009A27AD" w:rsidRDefault="00801F12" w:rsidP="00801F12">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240" w:lineRule="auto"/>
        <w:rPr>
          <w:rFonts w:ascii="Times New Roman" w:hAnsi="Times New Roman" w:cs="Times New Roman"/>
        </w:rPr>
      </w:pPr>
      <w:r>
        <w:rPr>
          <w:rFonts w:ascii="Times New Roman" w:hAnsi="Times New Roman" w:cs="Times New Roman"/>
        </w:rPr>
        <w:t>và Quy định thị xã, thành phố đạt yêu cầu</w:t>
      </w:r>
      <w:r w:rsidR="0018686A">
        <w:rPr>
          <w:rFonts w:ascii="Times New Roman" w:hAnsi="Times New Roman" w:cs="Times New Roman"/>
        </w:rPr>
        <w:t xml:space="preserve"> chuẩn</w:t>
      </w:r>
      <w:r>
        <w:rPr>
          <w:rFonts w:ascii="Times New Roman" w:hAnsi="Times New Roman" w:cs="Times New Roman"/>
        </w:rPr>
        <w:t xml:space="preserve"> về xây dựng nông thôn mới,</w:t>
      </w:r>
      <w:r w:rsidR="0018686A">
        <w:rPr>
          <w:rFonts w:ascii="Times New Roman" w:hAnsi="Times New Roman" w:cs="Times New Roman"/>
        </w:rPr>
        <w:t xml:space="preserve"> </w:t>
      </w:r>
      <w:r w:rsidRPr="009A27AD">
        <w:rPr>
          <w:rFonts w:ascii="Times New Roman" w:hAnsi="Times New Roman" w:cs="Times New Roman"/>
        </w:rPr>
        <w:t>thực hiện trên địa bàn tỉnh Hà Tĩnh</w:t>
      </w:r>
    </w:p>
    <w:p w:rsidR="00801F12" w:rsidRPr="009A27AD" w:rsidRDefault="00B927C0" w:rsidP="00801F12">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240" w:lineRule="auto"/>
        <w:ind w:firstLine="720"/>
        <w:rPr>
          <w:rFonts w:ascii="Times New Roman" w:hAnsi="Times New Roman" w:cs="Times New Roman"/>
          <w:sz w:val="24"/>
        </w:rPr>
      </w:pPr>
      <w:r w:rsidRPr="00B927C0">
        <w:pict>
          <v:shapetype id="_x0000_t32" coordsize="21600,21600" o:spt="32" o:oned="t" path="m,l21600,21600e" filled="f">
            <v:path arrowok="t" fillok="f" o:connecttype="none"/>
            <o:lock v:ext="edit" shapetype="t"/>
          </v:shapetype>
          <v:shape id="_x0000_s1026" type="#_x0000_t32" style="position:absolute;left:0;text-align:left;margin-left:171.75pt;margin-top:.15pt;width:99pt;height:0;z-index:251660288" o:connectortype="straight"/>
        </w:pict>
      </w:r>
    </w:p>
    <w:p w:rsidR="00801F12" w:rsidRPr="009A27AD" w:rsidRDefault="00801F12" w:rsidP="00801F12">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240" w:lineRule="auto"/>
        <w:rPr>
          <w:rFonts w:ascii="Times New Roman" w:hAnsi="Times New Roman" w:cs="Times New Roman"/>
        </w:rPr>
      </w:pPr>
    </w:p>
    <w:p w:rsidR="00801F12" w:rsidRPr="009A27AD" w:rsidRDefault="00801F12" w:rsidP="00801F12">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240" w:lineRule="auto"/>
        <w:rPr>
          <w:rFonts w:ascii="Times New Roman" w:hAnsi="Times New Roman" w:cs="Times New Roman"/>
        </w:rPr>
      </w:pPr>
      <w:r w:rsidRPr="009A27AD">
        <w:rPr>
          <w:rFonts w:ascii="Times New Roman" w:hAnsi="Times New Roman" w:cs="Times New Roman"/>
        </w:rPr>
        <w:t>UỶ BAN NHÂN DÂN TỈNH</w:t>
      </w:r>
    </w:p>
    <w:p w:rsidR="00801F12" w:rsidRPr="009A27AD" w:rsidRDefault="00801F12" w:rsidP="00801F12">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240" w:lineRule="auto"/>
        <w:rPr>
          <w:rFonts w:ascii="Times New Roman" w:hAnsi="Times New Roman" w:cs="Times New Roman"/>
        </w:rPr>
      </w:pPr>
    </w:p>
    <w:p w:rsidR="00801F12" w:rsidRPr="009A27AD" w:rsidRDefault="00801F12" w:rsidP="00801F12">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after="0" w:line="240" w:lineRule="auto"/>
        <w:ind w:firstLine="720"/>
        <w:jc w:val="left"/>
        <w:rPr>
          <w:rFonts w:ascii="Times New Roman" w:hAnsi="Times New Roman" w:cs="Times New Roman"/>
          <w:b w:val="0"/>
          <w:sz w:val="16"/>
        </w:rPr>
      </w:pPr>
    </w:p>
    <w:p w:rsidR="00801F12" w:rsidRPr="009A27AD" w:rsidRDefault="00801F12" w:rsidP="00801F12">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60" w:after="60" w:line="400" w:lineRule="exact"/>
        <w:ind w:firstLine="720"/>
        <w:jc w:val="both"/>
        <w:rPr>
          <w:rFonts w:ascii="Times New Roman" w:hAnsi="Times New Roman" w:cs="Times New Roman"/>
          <w:b w:val="0"/>
        </w:rPr>
      </w:pPr>
      <w:r w:rsidRPr="009A27AD">
        <w:rPr>
          <w:rFonts w:ascii="Times New Roman" w:hAnsi="Times New Roman" w:cs="Times New Roman"/>
          <w:b w:val="0"/>
        </w:rPr>
        <w:t>Căn cứ Luật Tổ chức HĐND và UBND ngày 26/11/2003;</w:t>
      </w:r>
    </w:p>
    <w:p w:rsidR="00801F12" w:rsidRPr="009A27AD" w:rsidRDefault="00801F12" w:rsidP="00801F12">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60" w:after="60" w:line="400" w:lineRule="exact"/>
        <w:ind w:firstLine="720"/>
        <w:jc w:val="both"/>
        <w:rPr>
          <w:rFonts w:ascii="Times New Roman" w:hAnsi="Times New Roman" w:cs="Times New Roman"/>
          <w:b w:val="0"/>
        </w:rPr>
      </w:pPr>
      <w:r w:rsidRPr="009A27AD">
        <w:rPr>
          <w:rFonts w:ascii="Times New Roman" w:hAnsi="Times New Roman" w:cs="Times New Roman"/>
          <w:b w:val="0"/>
        </w:rPr>
        <w:t>Căn cứ Luật Ban hành văn bản quy phạm pháp luật của HĐND và UBND ngày 03/12/2004;</w:t>
      </w:r>
    </w:p>
    <w:p w:rsidR="00801F12" w:rsidRPr="009A27AD" w:rsidRDefault="00801F12" w:rsidP="00801F12">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60" w:after="60" w:line="400" w:lineRule="exact"/>
        <w:ind w:firstLine="720"/>
        <w:jc w:val="both"/>
        <w:rPr>
          <w:rFonts w:ascii="Times New Roman" w:hAnsi="Times New Roman" w:cs="Times New Roman"/>
          <w:b w:val="0"/>
        </w:rPr>
      </w:pPr>
      <w:r w:rsidRPr="009A27AD">
        <w:rPr>
          <w:rFonts w:ascii="Times New Roman" w:hAnsi="Times New Roman" w:cs="Times New Roman"/>
          <w:b w:val="0"/>
        </w:rPr>
        <w:t xml:space="preserve">Căn cứ Quyết định số 800/QĐ-TTg ngày 04/6/2010 của Thủ tướng Chính phủ về việc phê duyệt Chương trình MTQG về xây dựng nông thôn mới giai đoạn 2010 - 2020; </w:t>
      </w:r>
    </w:p>
    <w:p w:rsidR="00801F12" w:rsidRPr="009A27AD" w:rsidRDefault="00801F12" w:rsidP="00801F12">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60" w:after="60" w:line="400" w:lineRule="exact"/>
        <w:ind w:firstLine="720"/>
        <w:jc w:val="both"/>
        <w:rPr>
          <w:rFonts w:ascii="Times New Roman" w:hAnsi="Times New Roman" w:cs="Times New Roman"/>
          <w:b w:val="0"/>
        </w:rPr>
      </w:pPr>
      <w:r w:rsidRPr="009A27AD">
        <w:rPr>
          <w:rFonts w:ascii="Times New Roman" w:hAnsi="Times New Roman" w:cs="Times New Roman"/>
          <w:b w:val="0"/>
        </w:rPr>
        <w:t>Căn cứ Quyết định số 491/QĐ-TTg ngày 16/4/2009 của Thủ tướng    Chính phủ về việc ban hành Bộ tiêu chí Quốc gia về xây dựng nông thôn mới; Quyết định 342/QĐ-TTg ngày 20/2/2013 của Thủ tướng Chính phủ về sửa đổi một số tiêu chí của Bộ tiêu chí quốc gia về nông thôn mới;</w:t>
      </w:r>
    </w:p>
    <w:p w:rsidR="00801F12" w:rsidRPr="009A27AD" w:rsidRDefault="00801F12" w:rsidP="00801F12">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60" w:after="60" w:line="400" w:lineRule="exact"/>
        <w:ind w:firstLine="720"/>
        <w:jc w:val="both"/>
        <w:rPr>
          <w:rFonts w:ascii="Times New Roman" w:hAnsi="Times New Roman" w:cs="Times New Roman"/>
          <w:b w:val="0"/>
        </w:rPr>
      </w:pPr>
      <w:r w:rsidRPr="009A27AD">
        <w:rPr>
          <w:rFonts w:ascii="Times New Roman" w:hAnsi="Times New Roman" w:cs="Times New Roman"/>
          <w:b w:val="0"/>
        </w:rPr>
        <w:t>Căn cứ Thông tư số 41/2013/TT-BNNPTNT ngày 04/10/2013 của         Bộ Nông nghiệp và Phát triển nông thôn về hướng dẫn thực hiện Bộ tiêu chí quốc gia về nông thôn mới;</w:t>
      </w:r>
    </w:p>
    <w:p w:rsidR="00801F12" w:rsidRPr="009A27AD" w:rsidRDefault="00801F12" w:rsidP="00801F12">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60" w:after="60" w:line="400" w:lineRule="exact"/>
        <w:ind w:firstLine="720"/>
        <w:jc w:val="both"/>
        <w:rPr>
          <w:rFonts w:ascii="Times New Roman" w:hAnsi="Times New Roman" w:cs="Times New Roman"/>
          <w:sz w:val="14"/>
        </w:rPr>
      </w:pPr>
      <w:r w:rsidRPr="009A27AD">
        <w:rPr>
          <w:rFonts w:ascii="Times New Roman" w:hAnsi="Times New Roman" w:cs="Times New Roman"/>
          <w:b w:val="0"/>
        </w:rPr>
        <w:t>Xét đề nghị của Văn phòng Điều phối Chương trình MTQG xây dựng nông thôn mới tỉnh tại Văn bản số …../VPĐP-ĐPNV ngày …../</w:t>
      </w:r>
      <w:r>
        <w:rPr>
          <w:rFonts w:ascii="Times New Roman" w:hAnsi="Times New Roman" w:cs="Times New Roman"/>
          <w:b w:val="0"/>
        </w:rPr>
        <w:t>3</w:t>
      </w:r>
      <w:r w:rsidRPr="009A27AD">
        <w:rPr>
          <w:rFonts w:ascii="Times New Roman" w:hAnsi="Times New Roman" w:cs="Times New Roman"/>
          <w:b w:val="0"/>
        </w:rPr>
        <w:t>/201</w:t>
      </w:r>
      <w:r>
        <w:rPr>
          <w:rFonts w:ascii="Times New Roman" w:hAnsi="Times New Roman" w:cs="Times New Roman"/>
          <w:b w:val="0"/>
        </w:rPr>
        <w:t>6</w:t>
      </w:r>
      <w:r w:rsidRPr="009A27AD">
        <w:rPr>
          <w:rFonts w:ascii="Times New Roman" w:hAnsi="Times New Roman" w:cs="Times New Roman"/>
          <w:b w:val="0"/>
        </w:rPr>
        <w:t>; của     Sở Tư pháp tại Báo cáo thẩm định số …../BC-STP ngày …../</w:t>
      </w:r>
      <w:r>
        <w:rPr>
          <w:rFonts w:ascii="Times New Roman" w:hAnsi="Times New Roman" w:cs="Times New Roman"/>
          <w:b w:val="0"/>
        </w:rPr>
        <w:t>3</w:t>
      </w:r>
      <w:r w:rsidRPr="009A27AD">
        <w:rPr>
          <w:rFonts w:ascii="Times New Roman" w:hAnsi="Times New Roman" w:cs="Times New Roman"/>
          <w:b w:val="0"/>
        </w:rPr>
        <w:t>/201</w:t>
      </w:r>
      <w:r>
        <w:rPr>
          <w:rFonts w:ascii="Times New Roman" w:hAnsi="Times New Roman" w:cs="Times New Roman"/>
          <w:b w:val="0"/>
        </w:rPr>
        <w:t>6</w:t>
      </w:r>
      <w:r w:rsidRPr="009A27AD">
        <w:rPr>
          <w:rFonts w:ascii="Times New Roman" w:hAnsi="Times New Roman" w:cs="Times New Roman"/>
          <w:b w:val="0"/>
        </w:rPr>
        <w:t>,</w:t>
      </w:r>
    </w:p>
    <w:p w:rsidR="00801F12" w:rsidRPr="009A27AD" w:rsidRDefault="00801F12" w:rsidP="00801F12">
      <w:pPr>
        <w:pStyle w:val="quyetdinh"/>
        <w:spacing w:before="60" w:after="60" w:line="400" w:lineRule="exact"/>
        <w:ind w:firstLine="720"/>
        <w:rPr>
          <w:rFonts w:ascii="Times New Roman" w:hAnsi="Times New Roman" w:cs="Times New Roman"/>
          <w:sz w:val="20"/>
        </w:rPr>
      </w:pPr>
    </w:p>
    <w:p w:rsidR="00801F12" w:rsidRPr="009A27AD" w:rsidRDefault="00801F12" w:rsidP="00801F12">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60" w:after="60" w:line="400" w:lineRule="exact"/>
        <w:rPr>
          <w:rFonts w:ascii="Times New Roman" w:hAnsi="Times New Roman" w:cs="Times New Roman"/>
        </w:rPr>
      </w:pPr>
      <w:r w:rsidRPr="009A27AD">
        <w:rPr>
          <w:rFonts w:ascii="Times New Roman" w:hAnsi="Times New Roman" w:cs="Times New Roman"/>
        </w:rPr>
        <w:t>QUYẾT ĐỊNH:</w:t>
      </w:r>
    </w:p>
    <w:p w:rsidR="00801F12" w:rsidRPr="008A1BA7" w:rsidRDefault="00801F12" w:rsidP="00801F12">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60" w:after="60" w:line="400" w:lineRule="exact"/>
        <w:ind w:firstLine="720"/>
        <w:jc w:val="both"/>
        <w:rPr>
          <w:rFonts w:ascii="Times New Roman" w:hAnsi="Times New Roman" w:cs="Times New Roman"/>
          <w:b w:val="0"/>
        </w:rPr>
      </w:pPr>
      <w:r w:rsidRPr="008A1BA7">
        <w:rPr>
          <w:rFonts w:ascii="Times New Roman" w:hAnsi="Times New Roman" w:cs="Times New Roman"/>
        </w:rPr>
        <w:t>Điều 1.</w:t>
      </w:r>
      <w:r w:rsidRPr="008A1BA7">
        <w:rPr>
          <w:rFonts w:ascii="Times New Roman" w:hAnsi="Times New Roman" w:cs="Times New Roman"/>
          <w:b w:val="0"/>
        </w:rPr>
        <w:t xml:space="preserve"> Ban hành kèm theo Quyết định này Quy định tạm thời về</w:t>
      </w:r>
      <w:r w:rsidR="000E4199" w:rsidRPr="008A1BA7">
        <w:rPr>
          <w:rFonts w:ascii="Times New Roman" w:hAnsi="Times New Roman" w:cs="Times New Roman"/>
          <w:b w:val="0"/>
        </w:rPr>
        <w:t xml:space="preserve"> Bộ</w:t>
      </w:r>
      <w:r w:rsidRPr="008A1BA7">
        <w:rPr>
          <w:rFonts w:ascii="Times New Roman" w:hAnsi="Times New Roman" w:cs="Times New Roman"/>
          <w:b w:val="0"/>
        </w:rPr>
        <w:t xml:space="preserve"> tiêu chí huyện</w:t>
      </w:r>
      <w:r w:rsidR="000E4199" w:rsidRPr="008A1BA7">
        <w:rPr>
          <w:rFonts w:ascii="Times New Roman" w:hAnsi="Times New Roman" w:cs="Times New Roman"/>
          <w:b w:val="0"/>
        </w:rPr>
        <w:t xml:space="preserve"> đạt chuẩn</w:t>
      </w:r>
      <w:r w:rsidRPr="008A1BA7">
        <w:rPr>
          <w:rFonts w:ascii="Times New Roman" w:hAnsi="Times New Roman" w:cs="Times New Roman"/>
          <w:b w:val="0"/>
        </w:rPr>
        <w:t xml:space="preserve"> nông thôn mới và thị xã, thành phố đạt </w:t>
      </w:r>
      <w:r w:rsidR="000E4199" w:rsidRPr="008A1BA7">
        <w:rPr>
          <w:rFonts w:ascii="Times New Roman" w:hAnsi="Times New Roman" w:cs="Times New Roman"/>
          <w:b w:val="0"/>
        </w:rPr>
        <w:t xml:space="preserve">chuẩn các nội dung </w:t>
      </w:r>
      <w:r w:rsidRPr="008A1BA7">
        <w:rPr>
          <w:rFonts w:ascii="Times New Roman" w:hAnsi="Times New Roman" w:cs="Times New Roman"/>
          <w:b w:val="0"/>
        </w:rPr>
        <w:t>về xây dựng nông thôn mới, thực hiện trên địa bàn tỉnh Hà Tĩnh.</w:t>
      </w:r>
    </w:p>
    <w:p w:rsidR="00801F12" w:rsidRPr="009A27AD" w:rsidRDefault="00801F12" w:rsidP="00801F12">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60" w:after="60" w:line="400" w:lineRule="exact"/>
        <w:jc w:val="both"/>
        <w:rPr>
          <w:rFonts w:ascii="Times New Roman" w:hAnsi="Times New Roman" w:cs="Times New Roman"/>
          <w:b w:val="0"/>
        </w:rPr>
      </w:pPr>
      <w:r w:rsidRPr="009A27AD">
        <w:rPr>
          <w:rFonts w:ascii="Times New Roman" w:hAnsi="Times New Roman" w:cs="Times New Roman"/>
        </w:rPr>
        <w:tab/>
        <w:t>Điều 2.</w:t>
      </w:r>
      <w:r w:rsidRPr="009A27AD">
        <w:rPr>
          <w:rFonts w:ascii="Times New Roman" w:hAnsi="Times New Roman" w:cs="Times New Roman"/>
          <w:b w:val="0"/>
        </w:rPr>
        <w:t xml:space="preserve"> Quyết định có hiệu lực sau 10 ngày kể từ ngày ban hành.</w:t>
      </w:r>
    </w:p>
    <w:p w:rsidR="00801F12" w:rsidRPr="009A27AD" w:rsidRDefault="00801F12" w:rsidP="00801F12">
      <w:pPr>
        <w:pStyle w:val="quyetdin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60" w:after="60" w:line="400" w:lineRule="exact"/>
        <w:ind w:firstLine="720"/>
        <w:jc w:val="both"/>
        <w:rPr>
          <w:rFonts w:ascii="Times New Roman" w:hAnsi="Times New Roman" w:cs="Times New Roman"/>
          <w:b w:val="0"/>
        </w:rPr>
      </w:pPr>
      <w:r w:rsidRPr="009A27AD">
        <w:rPr>
          <w:rFonts w:ascii="Times New Roman" w:hAnsi="Times New Roman" w:cs="Times New Roman"/>
          <w:b w:val="0"/>
        </w:rPr>
        <w:t xml:space="preserve">Chánh Văn phòng UBND tỉnh, Chánh Văn phòng Điều phối Chương trình MTQG xây dựng nông thôn mới tỉnh; Giám đốc các Sở, Thủ trưởng các ban, </w:t>
      </w:r>
      <w:r w:rsidRPr="009A27AD">
        <w:rPr>
          <w:rFonts w:ascii="Times New Roman" w:hAnsi="Times New Roman" w:cs="Times New Roman"/>
          <w:b w:val="0"/>
        </w:rPr>
        <w:lastRenderedPageBreak/>
        <w:t>ngành, đoàn thể cấp tỉnh; Chủ tịch UBND các huyện, thành phố, thị xã; Chủ tịch UBND các xã và các tổ chức, cá nhân có liên quan chịu trách nhiệm thi hành Quyết định này./.</w:t>
      </w:r>
    </w:p>
    <w:p w:rsidR="00801F12" w:rsidRPr="009A27AD" w:rsidRDefault="00801F12" w:rsidP="00801F12">
      <w:pPr>
        <w:pStyle w:val="quyetdinh"/>
        <w:spacing w:before="0" w:after="0" w:line="240" w:lineRule="auto"/>
        <w:ind w:firstLine="720"/>
        <w:jc w:val="both"/>
        <w:rPr>
          <w:sz w:val="14"/>
        </w:rPr>
      </w:pPr>
    </w:p>
    <w:tbl>
      <w:tblPr>
        <w:tblW w:w="9264" w:type="dxa"/>
        <w:tblInd w:w="108" w:type="dxa"/>
        <w:tblLook w:val="01E0"/>
      </w:tblPr>
      <w:tblGrid>
        <w:gridCol w:w="3981"/>
        <w:gridCol w:w="5283"/>
      </w:tblGrid>
      <w:tr w:rsidR="00801F12" w:rsidRPr="009A27AD" w:rsidTr="00693809">
        <w:trPr>
          <w:trHeight w:val="899"/>
        </w:trPr>
        <w:tc>
          <w:tcPr>
            <w:tcW w:w="3981" w:type="dxa"/>
          </w:tcPr>
          <w:p w:rsidR="00801F12" w:rsidRPr="009A27AD" w:rsidRDefault="00801F12" w:rsidP="00693809">
            <w:pPr>
              <w:rPr>
                <w:b/>
                <w:bCs/>
                <w:i/>
                <w:spacing w:val="-12"/>
              </w:rPr>
            </w:pPr>
            <w:r w:rsidRPr="009A27AD">
              <w:rPr>
                <w:b/>
                <w:bCs/>
                <w:i/>
                <w:spacing w:val="-12"/>
              </w:rPr>
              <w:t>Nơi nhận:</w:t>
            </w:r>
          </w:p>
          <w:p w:rsidR="00801F12" w:rsidRPr="009A27AD" w:rsidRDefault="00801F12" w:rsidP="00693809">
            <w:pPr>
              <w:rPr>
                <w:bCs/>
                <w:sz w:val="22"/>
              </w:rPr>
            </w:pPr>
            <w:r w:rsidRPr="009A27AD">
              <w:rPr>
                <w:bCs/>
                <w:spacing w:val="-12"/>
                <w:sz w:val="22"/>
              </w:rPr>
              <w:t xml:space="preserve">- </w:t>
            </w:r>
            <w:r w:rsidRPr="009A27AD">
              <w:rPr>
                <w:bCs/>
                <w:sz w:val="22"/>
                <w:szCs w:val="22"/>
              </w:rPr>
              <w:t>Như  Điều 2;</w:t>
            </w:r>
          </w:p>
          <w:p w:rsidR="00801F12" w:rsidRPr="009A27AD" w:rsidRDefault="00801F12" w:rsidP="00693809">
            <w:pPr>
              <w:rPr>
                <w:bCs/>
                <w:sz w:val="22"/>
              </w:rPr>
            </w:pPr>
            <w:r w:rsidRPr="009A27AD">
              <w:rPr>
                <w:bCs/>
                <w:sz w:val="22"/>
                <w:szCs w:val="22"/>
              </w:rPr>
              <w:t>- Cục Kiểm tra văn bản - Bộ Tư pháp;</w:t>
            </w:r>
          </w:p>
          <w:p w:rsidR="00801F12" w:rsidRPr="009A27AD" w:rsidRDefault="00801F12" w:rsidP="00693809">
            <w:pPr>
              <w:rPr>
                <w:bCs/>
                <w:sz w:val="22"/>
              </w:rPr>
            </w:pPr>
            <w:r w:rsidRPr="009A27AD">
              <w:rPr>
                <w:bCs/>
                <w:sz w:val="22"/>
                <w:szCs w:val="22"/>
              </w:rPr>
              <w:t>- Ban Chỉ đạo, Văn phòng Điều phối NTM TW;</w:t>
            </w:r>
          </w:p>
          <w:p w:rsidR="00801F12" w:rsidRPr="009A27AD" w:rsidRDefault="00801F12" w:rsidP="00693809">
            <w:pPr>
              <w:rPr>
                <w:bCs/>
                <w:sz w:val="22"/>
              </w:rPr>
            </w:pPr>
            <w:r w:rsidRPr="009A27AD">
              <w:rPr>
                <w:bCs/>
                <w:sz w:val="22"/>
                <w:szCs w:val="22"/>
              </w:rPr>
              <w:t>- TTr Tỉnh uỷ, TTr  HĐND tỉnh;</w:t>
            </w:r>
          </w:p>
          <w:p w:rsidR="00801F12" w:rsidRPr="009A27AD" w:rsidRDefault="00801F12" w:rsidP="00693809">
            <w:pPr>
              <w:rPr>
                <w:bCs/>
                <w:sz w:val="22"/>
              </w:rPr>
            </w:pPr>
            <w:r w:rsidRPr="009A27AD">
              <w:rPr>
                <w:bCs/>
                <w:sz w:val="22"/>
                <w:szCs w:val="22"/>
              </w:rPr>
              <w:t>- Chủ tịch, các PCT UBND tỉnh;</w:t>
            </w:r>
          </w:p>
          <w:p w:rsidR="00801F12" w:rsidRPr="009A27AD" w:rsidRDefault="00801F12" w:rsidP="00693809">
            <w:pPr>
              <w:rPr>
                <w:bCs/>
                <w:sz w:val="22"/>
              </w:rPr>
            </w:pPr>
            <w:r w:rsidRPr="009A27AD">
              <w:rPr>
                <w:bCs/>
                <w:sz w:val="22"/>
                <w:szCs w:val="22"/>
              </w:rPr>
              <w:t>- Chánh, Phó VP/UB;</w:t>
            </w:r>
          </w:p>
          <w:p w:rsidR="00801F12" w:rsidRPr="009A27AD" w:rsidRDefault="00801F12" w:rsidP="00693809">
            <w:pPr>
              <w:rPr>
                <w:bCs/>
                <w:sz w:val="22"/>
              </w:rPr>
            </w:pPr>
            <w:r w:rsidRPr="009A27AD">
              <w:rPr>
                <w:bCs/>
                <w:sz w:val="22"/>
                <w:szCs w:val="22"/>
              </w:rPr>
              <w:t>- Văn phòng Điều phối NTM tỉnh;</w:t>
            </w:r>
          </w:p>
          <w:p w:rsidR="00801F12" w:rsidRPr="009A27AD" w:rsidRDefault="00801F12" w:rsidP="00693809">
            <w:pPr>
              <w:rPr>
                <w:bCs/>
                <w:sz w:val="22"/>
              </w:rPr>
            </w:pPr>
            <w:r w:rsidRPr="009A27AD">
              <w:rPr>
                <w:bCs/>
                <w:sz w:val="22"/>
                <w:szCs w:val="22"/>
              </w:rPr>
              <w:t>- Sở Tư pháp;</w:t>
            </w:r>
          </w:p>
          <w:p w:rsidR="00801F12" w:rsidRPr="009A27AD" w:rsidRDefault="00801F12" w:rsidP="00693809">
            <w:pPr>
              <w:rPr>
                <w:bCs/>
                <w:sz w:val="22"/>
              </w:rPr>
            </w:pPr>
            <w:r w:rsidRPr="009A27AD">
              <w:rPr>
                <w:bCs/>
                <w:sz w:val="22"/>
                <w:szCs w:val="22"/>
              </w:rPr>
              <w:t>- Trung tâm Công báo - Tin học tỉnh;</w:t>
            </w:r>
          </w:p>
          <w:p w:rsidR="00801F12" w:rsidRPr="009A27AD" w:rsidRDefault="00801F12" w:rsidP="00693809">
            <w:pPr>
              <w:rPr>
                <w:bCs/>
                <w:sz w:val="22"/>
              </w:rPr>
            </w:pPr>
            <w:r w:rsidRPr="009A27AD">
              <w:rPr>
                <w:bCs/>
                <w:sz w:val="22"/>
                <w:szCs w:val="22"/>
              </w:rPr>
              <w:t>- Chánh, Phó VP UBND tỉnh;</w:t>
            </w:r>
          </w:p>
          <w:p w:rsidR="00801F12" w:rsidRPr="009A27AD" w:rsidRDefault="00801F12" w:rsidP="00693809">
            <w:pPr>
              <w:rPr>
                <w:bCs/>
                <w:sz w:val="22"/>
              </w:rPr>
            </w:pPr>
            <w:r w:rsidRPr="009A27AD">
              <w:rPr>
                <w:bCs/>
                <w:sz w:val="22"/>
                <w:szCs w:val="22"/>
              </w:rPr>
              <w:t>- Lưu: VT, NL, NL</w:t>
            </w:r>
            <w:r w:rsidRPr="009A27AD">
              <w:rPr>
                <w:bCs/>
                <w:sz w:val="22"/>
                <w:szCs w:val="22"/>
                <w:vertAlign w:val="subscript"/>
              </w:rPr>
              <w:t>1</w:t>
            </w:r>
            <w:r w:rsidRPr="009A27AD">
              <w:rPr>
                <w:bCs/>
                <w:sz w:val="22"/>
                <w:szCs w:val="22"/>
              </w:rPr>
              <w:t>.</w:t>
            </w:r>
          </w:p>
          <w:p w:rsidR="00801F12" w:rsidRPr="009A27AD" w:rsidRDefault="00801F12" w:rsidP="00693809">
            <w:pPr>
              <w:rPr>
                <w:bCs/>
                <w:spacing w:val="-12"/>
                <w:sz w:val="22"/>
              </w:rPr>
            </w:pPr>
            <w:r w:rsidRPr="009A27AD">
              <w:rPr>
                <w:bCs/>
                <w:sz w:val="22"/>
                <w:szCs w:val="22"/>
              </w:rPr>
              <w:t>- Gửi: Bản giấy và điện tử.</w:t>
            </w:r>
          </w:p>
        </w:tc>
        <w:tc>
          <w:tcPr>
            <w:tcW w:w="5283" w:type="dxa"/>
          </w:tcPr>
          <w:p w:rsidR="00801F12" w:rsidRPr="009A27AD" w:rsidRDefault="00801F12" w:rsidP="00693809">
            <w:pPr>
              <w:jc w:val="center"/>
              <w:rPr>
                <w:b/>
                <w:sz w:val="26"/>
                <w:szCs w:val="26"/>
              </w:rPr>
            </w:pPr>
            <w:r w:rsidRPr="009A27AD">
              <w:rPr>
                <w:b/>
                <w:sz w:val="26"/>
                <w:szCs w:val="26"/>
              </w:rPr>
              <w:t>TM. ỦY BAN NHÂN DÂN</w:t>
            </w:r>
          </w:p>
          <w:p w:rsidR="00801F12" w:rsidRPr="009A27AD" w:rsidRDefault="00801F12" w:rsidP="00693809">
            <w:pPr>
              <w:jc w:val="center"/>
              <w:rPr>
                <w:b/>
                <w:sz w:val="26"/>
                <w:szCs w:val="26"/>
              </w:rPr>
            </w:pPr>
            <w:r w:rsidRPr="009A27AD">
              <w:rPr>
                <w:b/>
                <w:sz w:val="26"/>
                <w:szCs w:val="26"/>
              </w:rPr>
              <w:t>CHỦ TỊCH</w:t>
            </w:r>
          </w:p>
          <w:p w:rsidR="00801F12" w:rsidRPr="009A27AD" w:rsidRDefault="00801F12" w:rsidP="00693809">
            <w:pPr>
              <w:spacing w:before="120" w:after="120"/>
              <w:rPr>
                <w:b/>
              </w:rPr>
            </w:pPr>
          </w:p>
          <w:p w:rsidR="00801F12" w:rsidRPr="009A27AD" w:rsidRDefault="00801F12" w:rsidP="00693809">
            <w:pPr>
              <w:spacing w:before="120" w:after="120"/>
              <w:rPr>
                <w:b/>
              </w:rPr>
            </w:pPr>
          </w:p>
          <w:p w:rsidR="00801F12" w:rsidRPr="009A27AD" w:rsidRDefault="00801F12" w:rsidP="00693809">
            <w:pPr>
              <w:spacing w:before="120" w:after="120"/>
              <w:rPr>
                <w:b/>
              </w:rPr>
            </w:pPr>
          </w:p>
          <w:p w:rsidR="00801F12" w:rsidRPr="009A27AD" w:rsidRDefault="00801F12" w:rsidP="00693809">
            <w:pPr>
              <w:spacing w:before="120" w:after="120"/>
              <w:rPr>
                <w:b/>
              </w:rPr>
            </w:pPr>
          </w:p>
          <w:p w:rsidR="00801F12" w:rsidRPr="009A27AD" w:rsidRDefault="00801F12" w:rsidP="00693809">
            <w:pPr>
              <w:jc w:val="center"/>
              <w:rPr>
                <w:b/>
                <w:spacing w:val="-12"/>
                <w:szCs w:val="28"/>
              </w:rPr>
            </w:pPr>
            <w:r w:rsidRPr="009A27AD">
              <w:rPr>
                <w:b/>
                <w:sz w:val="28"/>
              </w:rPr>
              <w:t>Lê  Đình  Sơn</w:t>
            </w:r>
          </w:p>
        </w:tc>
      </w:tr>
    </w:tbl>
    <w:p w:rsidR="00801F12" w:rsidRPr="009A27AD" w:rsidRDefault="00801F12" w:rsidP="00801F12">
      <w:pPr>
        <w:rPr>
          <w:b/>
          <w:bCs/>
          <w:spacing w:val="-12"/>
        </w:rPr>
      </w:pPr>
    </w:p>
    <w:p w:rsidR="00801F12" w:rsidRPr="009A27AD" w:rsidRDefault="00801F12" w:rsidP="00801F12">
      <w:pPr>
        <w:rPr>
          <w:b/>
          <w:bCs/>
          <w:spacing w:val="-12"/>
        </w:rPr>
      </w:pPr>
    </w:p>
    <w:p w:rsidR="00801F12" w:rsidRPr="009A27AD" w:rsidRDefault="00801F12" w:rsidP="00801F12">
      <w:pPr>
        <w:rPr>
          <w:b/>
          <w:bCs/>
          <w:spacing w:val="-12"/>
        </w:rPr>
      </w:pPr>
    </w:p>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801F12" w:rsidRPr="009A27AD" w:rsidRDefault="00801F12" w:rsidP="00801F12"/>
    <w:p w:rsidR="00506960" w:rsidRDefault="00506960">
      <w:pPr>
        <w:spacing w:after="200" w:line="276" w:lineRule="auto"/>
      </w:pPr>
      <w:r>
        <w:br w:type="page"/>
      </w:r>
    </w:p>
    <w:p w:rsidR="005B5FF1" w:rsidRPr="005B5FF1" w:rsidRDefault="00506960" w:rsidP="00506960">
      <w:pPr>
        <w:jc w:val="center"/>
        <w:rPr>
          <w:b/>
          <w:sz w:val="26"/>
          <w:szCs w:val="26"/>
        </w:rPr>
      </w:pPr>
      <w:r w:rsidRPr="005B5FF1">
        <w:rPr>
          <w:b/>
          <w:sz w:val="26"/>
        </w:rPr>
        <w:lastRenderedPageBreak/>
        <w:t xml:space="preserve">QUY ĐỊNH TẠM THỜI VỀ </w:t>
      </w:r>
      <w:r w:rsidR="005B5FF1" w:rsidRPr="005B5FF1">
        <w:rPr>
          <w:b/>
          <w:sz w:val="26"/>
        </w:rPr>
        <w:t xml:space="preserve"> BỘ </w:t>
      </w:r>
      <w:r w:rsidRPr="005B5FF1">
        <w:rPr>
          <w:b/>
          <w:sz w:val="26"/>
        </w:rPr>
        <w:t xml:space="preserve">TIÊU </w:t>
      </w:r>
      <w:r w:rsidRPr="005B5FF1">
        <w:rPr>
          <w:b/>
          <w:sz w:val="26"/>
          <w:szCs w:val="26"/>
        </w:rPr>
        <w:t>CHÍ HUYỆN</w:t>
      </w:r>
      <w:r w:rsidR="005B5FF1" w:rsidRPr="005B5FF1">
        <w:rPr>
          <w:b/>
          <w:sz w:val="26"/>
          <w:szCs w:val="26"/>
        </w:rPr>
        <w:t xml:space="preserve"> ĐẠT</w:t>
      </w:r>
    </w:p>
    <w:p w:rsidR="00506960" w:rsidRPr="005B5FF1" w:rsidRDefault="005B5FF1" w:rsidP="00506960">
      <w:pPr>
        <w:jc w:val="center"/>
        <w:rPr>
          <w:b/>
          <w:sz w:val="26"/>
          <w:szCs w:val="26"/>
        </w:rPr>
      </w:pPr>
      <w:r w:rsidRPr="005B5FF1">
        <w:rPr>
          <w:b/>
          <w:sz w:val="26"/>
          <w:szCs w:val="26"/>
        </w:rPr>
        <w:t>CHUẨN</w:t>
      </w:r>
      <w:r w:rsidR="00506960" w:rsidRPr="005B5FF1">
        <w:rPr>
          <w:b/>
          <w:sz w:val="26"/>
          <w:szCs w:val="26"/>
        </w:rPr>
        <w:t xml:space="preserve"> NÔNG THÔN MỚI VÀ THỊ XÃ, THÀNH PHỐ ĐẠT CHUẨN </w:t>
      </w:r>
      <w:r w:rsidRPr="005B5FF1">
        <w:rPr>
          <w:b/>
          <w:sz w:val="26"/>
          <w:szCs w:val="26"/>
        </w:rPr>
        <w:t xml:space="preserve">CÁC NỘI DUNG </w:t>
      </w:r>
      <w:r w:rsidR="00506960" w:rsidRPr="005B5FF1">
        <w:rPr>
          <w:b/>
          <w:sz w:val="26"/>
          <w:szCs w:val="26"/>
        </w:rPr>
        <w:t>VỀ XÂY DỰNG NÔNG THÔN MỚI THỰC HIỆN TRÊN ĐỊA BÀN TỈNH HÀ TĨNH</w:t>
      </w:r>
    </w:p>
    <w:p w:rsidR="00506960" w:rsidRDefault="00506960" w:rsidP="00506960">
      <w:pPr>
        <w:spacing w:before="120"/>
        <w:jc w:val="center"/>
        <w:rPr>
          <w:i/>
          <w:color w:val="000000"/>
          <w:sz w:val="28"/>
        </w:rPr>
      </w:pPr>
      <w:r>
        <w:rPr>
          <w:i/>
          <w:color w:val="000000"/>
          <w:sz w:val="28"/>
        </w:rPr>
        <w:t xml:space="preserve">(Ban hành kèm theo Quyết định số:           /2016/QĐ-UBND ngày       tháng      năm 2016        của Ủy ban nhân dân tỉnh) </w:t>
      </w:r>
    </w:p>
    <w:p w:rsidR="00506960" w:rsidRDefault="00B927C0" w:rsidP="00506960">
      <w:pPr>
        <w:spacing w:before="120"/>
        <w:ind w:firstLine="720"/>
        <w:jc w:val="both"/>
        <w:rPr>
          <w:b/>
          <w:color w:val="000000"/>
          <w:sz w:val="28"/>
          <w:szCs w:val="22"/>
        </w:rPr>
      </w:pPr>
      <w:r w:rsidRPr="00B927C0">
        <w:rPr>
          <w:noProof/>
          <w:color w:val="000000"/>
        </w:rPr>
        <w:pict>
          <v:shape id="AutoShape 2" o:spid="_x0000_s1033" type="#_x0000_t32" style="position:absolute;left:0;text-align:left;margin-left:166.95pt;margin-top:1.7pt;width:119.7pt;height:0;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"/>
        </w:pict>
      </w:r>
    </w:p>
    <w:p w:rsidR="00506960" w:rsidRDefault="00506960" w:rsidP="00506960">
      <w:pPr>
        <w:spacing w:before="120"/>
        <w:ind w:firstLine="720"/>
        <w:rPr>
          <w:b/>
          <w:color w:val="000000"/>
          <w:sz w:val="28"/>
          <w:szCs w:val="22"/>
        </w:rPr>
      </w:pPr>
      <w:r>
        <w:rPr>
          <w:b/>
          <w:color w:val="000000"/>
          <w:sz w:val="28"/>
          <w:szCs w:val="22"/>
        </w:rPr>
        <w:t>A. HUYỆN NÔNG THÔN MỚI:</w:t>
      </w:r>
    </w:p>
    <w:p w:rsidR="00580054" w:rsidRDefault="00580054" w:rsidP="00506960">
      <w:pPr>
        <w:spacing w:before="120"/>
        <w:ind w:firstLine="720"/>
        <w:jc w:val="both"/>
        <w:rPr>
          <w:b/>
          <w:color w:val="000000"/>
          <w:sz w:val="28"/>
          <w:szCs w:val="22"/>
        </w:rPr>
      </w:pPr>
      <w:r>
        <w:rPr>
          <w:b/>
          <w:color w:val="000000"/>
          <w:sz w:val="28"/>
          <w:szCs w:val="22"/>
        </w:rPr>
        <w:t>I</w:t>
      </w:r>
      <w:r w:rsidR="00506960">
        <w:rPr>
          <w:b/>
          <w:color w:val="000000"/>
          <w:sz w:val="28"/>
          <w:szCs w:val="22"/>
        </w:rPr>
        <w:t xml:space="preserve">. </w:t>
      </w:r>
      <w:r>
        <w:rPr>
          <w:b/>
          <w:color w:val="000000"/>
          <w:sz w:val="28"/>
          <w:szCs w:val="22"/>
        </w:rPr>
        <w:t>Về</w:t>
      </w:r>
      <w:r w:rsidR="0060719B">
        <w:rPr>
          <w:b/>
          <w:color w:val="000000"/>
          <w:sz w:val="28"/>
          <w:szCs w:val="22"/>
        </w:rPr>
        <w:t xml:space="preserve"> tỷ lệ</w:t>
      </w:r>
      <w:r>
        <w:rPr>
          <w:b/>
          <w:color w:val="000000"/>
          <w:sz w:val="28"/>
          <w:szCs w:val="22"/>
        </w:rPr>
        <w:t xml:space="preserve"> xã đạt chuẩn và đạt chuẩn kiểu mẫu:</w:t>
      </w:r>
    </w:p>
    <w:p w:rsidR="0060719B" w:rsidRDefault="0060719B" w:rsidP="00506960">
      <w:pPr>
        <w:spacing w:before="120"/>
        <w:ind w:firstLine="720"/>
        <w:jc w:val="both"/>
        <w:rPr>
          <w:color w:val="000000"/>
          <w:sz w:val="28"/>
          <w:szCs w:val="22"/>
        </w:rPr>
      </w:pPr>
      <w:r>
        <w:rPr>
          <w:color w:val="000000"/>
          <w:sz w:val="28"/>
          <w:szCs w:val="22"/>
        </w:rPr>
        <w:t>1. Có 100% số xã đạt chuẩn nông thôn mới;</w:t>
      </w:r>
    </w:p>
    <w:p w:rsidR="0060719B" w:rsidRDefault="0060719B" w:rsidP="00506960">
      <w:pPr>
        <w:spacing w:before="120"/>
        <w:ind w:firstLine="720"/>
        <w:jc w:val="both"/>
        <w:rPr>
          <w:color w:val="000000"/>
          <w:sz w:val="28"/>
          <w:szCs w:val="22"/>
        </w:rPr>
      </w:pPr>
      <w:r>
        <w:rPr>
          <w:color w:val="000000"/>
          <w:sz w:val="28"/>
          <w:szCs w:val="22"/>
        </w:rPr>
        <w:t>2. Có tối thiểu 20% số xã đạt chuẩn nông thôn mới kiểu mẫu.</w:t>
      </w:r>
    </w:p>
    <w:p w:rsidR="00506960" w:rsidRDefault="00580054" w:rsidP="00506960">
      <w:pPr>
        <w:spacing w:before="120"/>
        <w:ind w:firstLine="720"/>
        <w:rPr>
          <w:b/>
          <w:color w:val="000000"/>
          <w:sz w:val="28"/>
          <w:szCs w:val="22"/>
        </w:rPr>
      </w:pPr>
      <w:r w:rsidRPr="001A2039">
        <w:rPr>
          <w:b/>
          <w:sz w:val="28"/>
          <w:szCs w:val="22"/>
        </w:rPr>
        <w:t>II</w:t>
      </w:r>
      <w:r w:rsidR="00506960" w:rsidRPr="001A2039">
        <w:rPr>
          <w:b/>
          <w:sz w:val="28"/>
          <w:szCs w:val="22"/>
        </w:rPr>
        <w:t>.</w:t>
      </w:r>
      <w:r w:rsidRPr="001A2039">
        <w:rPr>
          <w:b/>
          <w:sz w:val="28"/>
          <w:szCs w:val="22"/>
        </w:rPr>
        <w:t xml:space="preserve"> Về nội dung:</w:t>
      </w:r>
      <w:r w:rsidR="00506960">
        <w:rPr>
          <w:b/>
          <w:color w:val="000000"/>
          <w:sz w:val="28"/>
          <w:szCs w:val="22"/>
        </w:rPr>
        <w:t xml:space="preserve"> </w:t>
      </w:r>
      <w:r>
        <w:rPr>
          <w:b/>
          <w:color w:val="000000"/>
          <w:sz w:val="28"/>
          <w:szCs w:val="22"/>
        </w:rPr>
        <w:t>Phải đạt chuẩn các tiêu chí sau:</w:t>
      </w:r>
    </w:p>
    <w:tbl>
      <w:tblPr>
        <w:tblW w:w="9320" w:type="dxa"/>
        <w:jc w:val="center"/>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0"/>
        <w:gridCol w:w="1920"/>
        <w:gridCol w:w="5280"/>
        <w:gridCol w:w="1440"/>
      </w:tblGrid>
      <w:tr w:rsidR="00A501E4" w:rsidRPr="00A501E4" w:rsidTr="00A501E4">
        <w:trPr>
          <w:trHeight w:val="705"/>
          <w:jc w:val="center"/>
        </w:trPr>
        <w:tc>
          <w:tcPr>
            <w:tcW w:w="680" w:type="dxa"/>
            <w:shd w:val="clear" w:color="auto" w:fill="auto"/>
            <w:vAlign w:val="center"/>
            <w:hideMark/>
          </w:tcPr>
          <w:p w:rsidR="00A501E4" w:rsidRPr="00A501E4" w:rsidRDefault="00A501E4" w:rsidP="00A501E4">
            <w:pPr>
              <w:jc w:val="center"/>
              <w:rPr>
                <w:b/>
                <w:bCs/>
              </w:rPr>
            </w:pPr>
            <w:r w:rsidRPr="00A501E4">
              <w:rPr>
                <w:b/>
                <w:bCs/>
              </w:rPr>
              <w:t>TT</w:t>
            </w:r>
          </w:p>
        </w:tc>
        <w:tc>
          <w:tcPr>
            <w:tcW w:w="1920" w:type="dxa"/>
            <w:shd w:val="clear" w:color="auto" w:fill="auto"/>
            <w:vAlign w:val="center"/>
            <w:hideMark/>
          </w:tcPr>
          <w:p w:rsidR="00A501E4" w:rsidRPr="00A501E4" w:rsidRDefault="00A501E4" w:rsidP="00A501E4">
            <w:pPr>
              <w:jc w:val="center"/>
              <w:rPr>
                <w:b/>
                <w:bCs/>
              </w:rPr>
            </w:pPr>
            <w:r w:rsidRPr="00A501E4">
              <w:rPr>
                <w:b/>
                <w:bCs/>
              </w:rPr>
              <w:t>Tên tiêu chí</w:t>
            </w:r>
          </w:p>
        </w:tc>
        <w:tc>
          <w:tcPr>
            <w:tcW w:w="5280" w:type="dxa"/>
            <w:shd w:val="clear" w:color="auto" w:fill="auto"/>
            <w:vAlign w:val="center"/>
            <w:hideMark/>
          </w:tcPr>
          <w:p w:rsidR="00A501E4" w:rsidRPr="00A501E4" w:rsidRDefault="00A501E4" w:rsidP="00A501E4">
            <w:pPr>
              <w:jc w:val="center"/>
              <w:rPr>
                <w:b/>
                <w:bCs/>
              </w:rPr>
            </w:pPr>
            <w:r w:rsidRPr="00A501E4">
              <w:rPr>
                <w:b/>
                <w:bCs/>
              </w:rPr>
              <w:t>Nội dung tiêu chí</w:t>
            </w:r>
          </w:p>
        </w:tc>
        <w:tc>
          <w:tcPr>
            <w:tcW w:w="1440" w:type="dxa"/>
            <w:shd w:val="clear" w:color="auto" w:fill="auto"/>
            <w:vAlign w:val="center"/>
            <w:hideMark/>
          </w:tcPr>
          <w:p w:rsidR="00A501E4" w:rsidRPr="00A501E4" w:rsidRDefault="00A501E4" w:rsidP="00A501E4">
            <w:pPr>
              <w:jc w:val="center"/>
              <w:rPr>
                <w:b/>
                <w:bCs/>
              </w:rPr>
            </w:pPr>
            <w:r w:rsidRPr="00A501E4">
              <w:rPr>
                <w:b/>
                <w:bCs/>
              </w:rPr>
              <w:t>Chỉ tiêu</w:t>
            </w:r>
          </w:p>
        </w:tc>
      </w:tr>
      <w:tr w:rsidR="00A501E4" w:rsidRPr="00A501E4" w:rsidTr="00A501E4">
        <w:trPr>
          <w:trHeight w:val="1575"/>
          <w:jc w:val="center"/>
        </w:trPr>
        <w:tc>
          <w:tcPr>
            <w:tcW w:w="680" w:type="dxa"/>
            <w:vMerge w:val="restart"/>
            <w:shd w:val="clear" w:color="auto" w:fill="auto"/>
            <w:vAlign w:val="center"/>
            <w:hideMark/>
          </w:tcPr>
          <w:p w:rsidR="00A501E4" w:rsidRPr="00A501E4" w:rsidRDefault="00A501E4" w:rsidP="00A501E4">
            <w:pPr>
              <w:jc w:val="center"/>
            </w:pPr>
            <w:r w:rsidRPr="00A501E4">
              <w:t>1</w:t>
            </w:r>
          </w:p>
        </w:tc>
        <w:tc>
          <w:tcPr>
            <w:tcW w:w="1920" w:type="dxa"/>
            <w:vMerge w:val="restart"/>
            <w:shd w:val="clear" w:color="auto" w:fill="auto"/>
            <w:vAlign w:val="center"/>
            <w:hideMark/>
          </w:tcPr>
          <w:p w:rsidR="00A501E4" w:rsidRPr="00A501E4" w:rsidRDefault="00A501E4" w:rsidP="000416A7">
            <w:pPr>
              <w:jc w:val="center"/>
            </w:pPr>
            <w:r w:rsidRPr="00A501E4">
              <w:t>Quy hoạch</w:t>
            </w:r>
          </w:p>
        </w:tc>
        <w:tc>
          <w:tcPr>
            <w:tcW w:w="5280" w:type="dxa"/>
            <w:shd w:val="clear" w:color="auto" w:fill="auto"/>
            <w:vAlign w:val="center"/>
            <w:hideMark/>
          </w:tcPr>
          <w:p w:rsidR="00A501E4" w:rsidRPr="00A501E4" w:rsidRDefault="00A501E4" w:rsidP="00A501E4">
            <w:pPr>
              <w:jc w:val="both"/>
            </w:pPr>
            <w:r w:rsidRPr="00A501E4">
              <w:t>1.1. Quy hoạch vùng huyện được phê duyệt có kết nối vùng, gồm: Quy hoạch kết cấu hạ tầng cơ bản (Giao thông, Thủy lợi, Nước sạch, Điện, Y tế, Trường học, xử lý rác thải); Quy hoạch sản xuất hàng hóa tập trung; Quy hoạch Thương mại - Dịch v</w:t>
            </w:r>
            <w:r w:rsidR="001A2039">
              <w:t>ụ.</w:t>
            </w:r>
          </w:p>
        </w:tc>
        <w:tc>
          <w:tcPr>
            <w:tcW w:w="1440" w:type="dxa"/>
            <w:shd w:val="clear" w:color="auto" w:fill="auto"/>
            <w:vAlign w:val="center"/>
            <w:hideMark/>
          </w:tcPr>
          <w:p w:rsidR="00A501E4" w:rsidRPr="00A501E4" w:rsidRDefault="00A501E4" w:rsidP="00A501E4">
            <w:pPr>
              <w:jc w:val="center"/>
            </w:pPr>
            <w:r w:rsidRPr="00A501E4">
              <w:t>Đạt</w:t>
            </w:r>
          </w:p>
        </w:tc>
      </w:tr>
      <w:tr w:rsidR="00A501E4" w:rsidRPr="00A501E4" w:rsidTr="00A501E4">
        <w:trPr>
          <w:trHeight w:val="615"/>
          <w:jc w:val="center"/>
        </w:trPr>
        <w:tc>
          <w:tcPr>
            <w:tcW w:w="680" w:type="dxa"/>
            <w:vMerge/>
            <w:vAlign w:val="center"/>
            <w:hideMark/>
          </w:tcPr>
          <w:p w:rsidR="00A501E4" w:rsidRPr="00A501E4" w:rsidRDefault="00A501E4" w:rsidP="00A501E4"/>
        </w:tc>
        <w:tc>
          <w:tcPr>
            <w:tcW w:w="1920" w:type="dxa"/>
            <w:vMerge/>
            <w:vAlign w:val="center"/>
            <w:hideMark/>
          </w:tcPr>
          <w:p w:rsidR="00A501E4" w:rsidRPr="00A501E4" w:rsidRDefault="00A501E4" w:rsidP="00A501E4"/>
        </w:tc>
        <w:tc>
          <w:tcPr>
            <w:tcW w:w="5280" w:type="dxa"/>
            <w:shd w:val="clear" w:color="auto" w:fill="auto"/>
            <w:vAlign w:val="center"/>
            <w:hideMark/>
          </w:tcPr>
          <w:p w:rsidR="00A501E4" w:rsidRPr="00A501E4" w:rsidRDefault="00A501E4" w:rsidP="001A2039">
            <w:pPr>
              <w:jc w:val="both"/>
            </w:pPr>
            <w:r w:rsidRPr="00A501E4">
              <w:t>1.2. Hoàn thành việc công bố quy hoạch.</w:t>
            </w:r>
          </w:p>
        </w:tc>
        <w:tc>
          <w:tcPr>
            <w:tcW w:w="1440" w:type="dxa"/>
            <w:shd w:val="clear" w:color="auto" w:fill="auto"/>
            <w:vAlign w:val="center"/>
            <w:hideMark/>
          </w:tcPr>
          <w:p w:rsidR="00A501E4" w:rsidRPr="00A501E4" w:rsidRDefault="00A501E4" w:rsidP="00A501E4">
            <w:pPr>
              <w:jc w:val="center"/>
            </w:pPr>
            <w:r w:rsidRPr="00A501E4">
              <w:t>Đạt</w:t>
            </w:r>
          </w:p>
        </w:tc>
      </w:tr>
      <w:tr w:rsidR="00A501E4" w:rsidRPr="00A501E4" w:rsidTr="00A501E4">
        <w:trPr>
          <w:trHeight w:val="945"/>
          <w:jc w:val="center"/>
        </w:trPr>
        <w:tc>
          <w:tcPr>
            <w:tcW w:w="680" w:type="dxa"/>
            <w:vMerge w:val="restart"/>
            <w:shd w:val="clear" w:color="auto" w:fill="auto"/>
            <w:vAlign w:val="center"/>
            <w:hideMark/>
          </w:tcPr>
          <w:p w:rsidR="00A501E4" w:rsidRPr="00A501E4" w:rsidRDefault="00A501E4" w:rsidP="00A501E4">
            <w:pPr>
              <w:jc w:val="center"/>
            </w:pPr>
            <w:r w:rsidRPr="00A501E4">
              <w:t>2</w:t>
            </w:r>
          </w:p>
        </w:tc>
        <w:tc>
          <w:tcPr>
            <w:tcW w:w="1920" w:type="dxa"/>
            <w:vMerge w:val="restart"/>
            <w:shd w:val="clear" w:color="auto" w:fill="auto"/>
            <w:vAlign w:val="center"/>
            <w:hideMark/>
          </w:tcPr>
          <w:p w:rsidR="00A501E4" w:rsidRPr="00A501E4" w:rsidRDefault="00A501E4" w:rsidP="00A501E4">
            <w:pPr>
              <w:jc w:val="center"/>
            </w:pPr>
            <w:r w:rsidRPr="00A501E4">
              <w:t>Giao thông</w:t>
            </w:r>
          </w:p>
        </w:tc>
        <w:tc>
          <w:tcPr>
            <w:tcW w:w="5280" w:type="dxa"/>
            <w:shd w:val="clear" w:color="auto" w:fill="auto"/>
            <w:vAlign w:val="center"/>
            <w:hideMark/>
          </w:tcPr>
          <w:p w:rsidR="00A501E4" w:rsidRPr="00A501E4" w:rsidRDefault="00A501E4" w:rsidP="00941728">
            <w:pPr>
              <w:jc w:val="both"/>
            </w:pPr>
            <w:r w:rsidRPr="00A501E4">
              <w:t>2.1. Hệ thống giao thông trên địa bàn huyện kết nối tới tất cả các vùng của các xã theo quy hoạch</w:t>
            </w:r>
            <w:r w:rsidR="00DF7EEC">
              <w:t>;</w:t>
            </w:r>
            <w:r w:rsidRPr="00A501E4">
              <w:t xml:space="preserve"> đảm bảo</w:t>
            </w:r>
            <w:r w:rsidR="00941728">
              <w:t xml:space="preserve"> giao thông</w:t>
            </w:r>
            <w:r w:rsidRPr="00A501E4">
              <w:t xml:space="preserve"> thông suốt.</w:t>
            </w:r>
          </w:p>
        </w:tc>
        <w:tc>
          <w:tcPr>
            <w:tcW w:w="1440" w:type="dxa"/>
            <w:shd w:val="clear" w:color="auto" w:fill="auto"/>
            <w:vAlign w:val="center"/>
            <w:hideMark/>
          </w:tcPr>
          <w:p w:rsidR="00A501E4" w:rsidRPr="00A501E4" w:rsidRDefault="00A501E4" w:rsidP="00A501E4">
            <w:pPr>
              <w:jc w:val="center"/>
            </w:pPr>
            <w:r w:rsidRPr="00A501E4">
              <w:t>Đạt</w:t>
            </w:r>
          </w:p>
        </w:tc>
      </w:tr>
      <w:tr w:rsidR="00A501E4" w:rsidRPr="00A501E4" w:rsidTr="00A501E4">
        <w:trPr>
          <w:trHeight w:val="615"/>
          <w:jc w:val="center"/>
        </w:trPr>
        <w:tc>
          <w:tcPr>
            <w:tcW w:w="680" w:type="dxa"/>
            <w:vMerge/>
            <w:vAlign w:val="center"/>
            <w:hideMark/>
          </w:tcPr>
          <w:p w:rsidR="00A501E4" w:rsidRPr="00A501E4" w:rsidRDefault="00A501E4" w:rsidP="00A501E4"/>
        </w:tc>
        <w:tc>
          <w:tcPr>
            <w:tcW w:w="1920" w:type="dxa"/>
            <w:vMerge/>
            <w:vAlign w:val="center"/>
            <w:hideMark/>
          </w:tcPr>
          <w:p w:rsidR="00A501E4" w:rsidRPr="00A501E4" w:rsidRDefault="00A501E4" w:rsidP="00A501E4"/>
        </w:tc>
        <w:tc>
          <w:tcPr>
            <w:tcW w:w="5280" w:type="dxa"/>
            <w:shd w:val="clear" w:color="auto" w:fill="auto"/>
            <w:vAlign w:val="center"/>
            <w:hideMark/>
          </w:tcPr>
          <w:p w:rsidR="00A501E4" w:rsidRPr="00A501E4" w:rsidRDefault="00A501E4" w:rsidP="000B5541">
            <w:pPr>
              <w:jc w:val="both"/>
            </w:pPr>
            <w:r w:rsidRPr="00A501E4">
              <w:t>2.2. Tỷ lệ km đường huyện đạt chuẩn</w:t>
            </w:r>
            <w:r w:rsidR="000B5541">
              <w:t xml:space="preserve"> tối thiểu cấp V theo vùng.</w:t>
            </w:r>
          </w:p>
        </w:tc>
        <w:tc>
          <w:tcPr>
            <w:tcW w:w="1440" w:type="dxa"/>
            <w:shd w:val="clear" w:color="auto" w:fill="auto"/>
            <w:vAlign w:val="center"/>
            <w:hideMark/>
          </w:tcPr>
          <w:p w:rsidR="00A501E4" w:rsidRPr="00A501E4" w:rsidRDefault="00A501E4" w:rsidP="00A501E4">
            <w:pPr>
              <w:jc w:val="center"/>
            </w:pPr>
            <w:r w:rsidRPr="00A501E4">
              <w:t>100%</w:t>
            </w:r>
          </w:p>
        </w:tc>
      </w:tr>
      <w:tr w:rsidR="00A501E4" w:rsidRPr="00A501E4" w:rsidTr="00A501E4">
        <w:trPr>
          <w:trHeight w:val="630"/>
          <w:jc w:val="center"/>
        </w:trPr>
        <w:tc>
          <w:tcPr>
            <w:tcW w:w="680" w:type="dxa"/>
            <w:vMerge w:val="restart"/>
            <w:shd w:val="clear" w:color="auto" w:fill="auto"/>
            <w:vAlign w:val="center"/>
            <w:hideMark/>
          </w:tcPr>
          <w:p w:rsidR="00A501E4" w:rsidRPr="00A501E4" w:rsidRDefault="00A501E4" w:rsidP="00A501E4">
            <w:pPr>
              <w:jc w:val="center"/>
            </w:pPr>
            <w:r w:rsidRPr="00A501E4">
              <w:t>3</w:t>
            </w:r>
          </w:p>
        </w:tc>
        <w:tc>
          <w:tcPr>
            <w:tcW w:w="1920" w:type="dxa"/>
            <w:vMerge w:val="restart"/>
            <w:shd w:val="clear" w:color="auto" w:fill="auto"/>
            <w:vAlign w:val="center"/>
            <w:hideMark/>
          </w:tcPr>
          <w:p w:rsidR="00A501E4" w:rsidRPr="00A501E4" w:rsidRDefault="00A501E4" w:rsidP="00A501E4">
            <w:pPr>
              <w:jc w:val="center"/>
            </w:pPr>
            <w:r w:rsidRPr="00A501E4">
              <w:t>Thủy lợi</w:t>
            </w:r>
          </w:p>
        </w:tc>
        <w:tc>
          <w:tcPr>
            <w:tcW w:w="5280" w:type="dxa"/>
            <w:shd w:val="clear" w:color="auto" w:fill="auto"/>
            <w:vAlign w:val="center"/>
            <w:hideMark/>
          </w:tcPr>
          <w:p w:rsidR="00A501E4" w:rsidRPr="00A501E4" w:rsidRDefault="00A501E4" w:rsidP="00A501E4">
            <w:pPr>
              <w:jc w:val="both"/>
            </w:pPr>
            <w:r w:rsidRPr="00A501E4">
              <w:t>3.1. Hệ thống thủy lợi liên xã được kết nối với hệ thống thủy lợi các xã đạt chuẩn theo quy hoạch.</w:t>
            </w:r>
          </w:p>
        </w:tc>
        <w:tc>
          <w:tcPr>
            <w:tcW w:w="1440" w:type="dxa"/>
            <w:shd w:val="clear" w:color="auto" w:fill="auto"/>
            <w:vAlign w:val="center"/>
            <w:hideMark/>
          </w:tcPr>
          <w:p w:rsidR="00A501E4" w:rsidRPr="00A501E4" w:rsidRDefault="00A501E4" w:rsidP="00A501E4">
            <w:pPr>
              <w:jc w:val="center"/>
            </w:pPr>
            <w:r w:rsidRPr="00A501E4">
              <w:t>Đạt</w:t>
            </w:r>
          </w:p>
        </w:tc>
      </w:tr>
      <w:tr w:rsidR="00A501E4" w:rsidRPr="00A501E4" w:rsidTr="00A501E4">
        <w:trPr>
          <w:trHeight w:val="630"/>
          <w:jc w:val="center"/>
        </w:trPr>
        <w:tc>
          <w:tcPr>
            <w:tcW w:w="680" w:type="dxa"/>
            <w:vMerge/>
            <w:vAlign w:val="center"/>
            <w:hideMark/>
          </w:tcPr>
          <w:p w:rsidR="00A501E4" w:rsidRPr="00A501E4" w:rsidRDefault="00A501E4" w:rsidP="00A501E4"/>
        </w:tc>
        <w:tc>
          <w:tcPr>
            <w:tcW w:w="1920" w:type="dxa"/>
            <w:vMerge/>
            <w:vAlign w:val="center"/>
            <w:hideMark/>
          </w:tcPr>
          <w:p w:rsidR="00A501E4" w:rsidRPr="00A501E4" w:rsidRDefault="00A501E4" w:rsidP="00A501E4"/>
        </w:tc>
        <w:tc>
          <w:tcPr>
            <w:tcW w:w="5280" w:type="dxa"/>
            <w:shd w:val="clear" w:color="auto" w:fill="auto"/>
            <w:vAlign w:val="center"/>
            <w:hideMark/>
          </w:tcPr>
          <w:p w:rsidR="00A501E4" w:rsidRPr="00A501E4" w:rsidRDefault="00A501E4" w:rsidP="005019F5">
            <w:pPr>
              <w:jc w:val="both"/>
            </w:pPr>
            <w:r w:rsidRPr="00A501E4">
              <w:t xml:space="preserve">3.2. Về tưới: Hệ thống kênh liên xã đảm bảo cấp nước đủ cho các tuyến kênh xã theo </w:t>
            </w:r>
            <w:r w:rsidR="005019F5" w:rsidRPr="0097405C">
              <w:rPr>
                <w:color w:val="984806" w:themeColor="accent6" w:themeShade="80"/>
              </w:rPr>
              <w:t>thiết kế</w:t>
            </w:r>
            <w:r w:rsidR="005019F5">
              <w:t>.</w:t>
            </w:r>
          </w:p>
        </w:tc>
        <w:tc>
          <w:tcPr>
            <w:tcW w:w="1440" w:type="dxa"/>
            <w:shd w:val="clear" w:color="auto" w:fill="auto"/>
            <w:vAlign w:val="center"/>
            <w:hideMark/>
          </w:tcPr>
          <w:p w:rsidR="00A501E4" w:rsidRPr="00A501E4" w:rsidRDefault="00A501E4" w:rsidP="00A501E4">
            <w:pPr>
              <w:jc w:val="center"/>
            </w:pPr>
            <w:r w:rsidRPr="00A501E4">
              <w:t>Đạt</w:t>
            </w:r>
          </w:p>
        </w:tc>
      </w:tr>
      <w:tr w:rsidR="00A501E4" w:rsidRPr="00A501E4" w:rsidTr="00A501E4">
        <w:trPr>
          <w:trHeight w:val="1260"/>
          <w:jc w:val="center"/>
        </w:trPr>
        <w:tc>
          <w:tcPr>
            <w:tcW w:w="680" w:type="dxa"/>
            <w:vMerge/>
            <w:vAlign w:val="center"/>
            <w:hideMark/>
          </w:tcPr>
          <w:p w:rsidR="00A501E4" w:rsidRPr="00A501E4" w:rsidRDefault="00A501E4" w:rsidP="00A501E4"/>
        </w:tc>
        <w:tc>
          <w:tcPr>
            <w:tcW w:w="1920" w:type="dxa"/>
            <w:vMerge/>
            <w:vAlign w:val="center"/>
            <w:hideMark/>
          </w:tcPr>
          <w:p w:rsidR="00A501E4" w:rsidRPr="00A501E4" w:rsidRDefault="00A501E4" w:rsidP="00A501E4"/>
        </w:tc>
        <w:tc>
          <w:tcPr>
            <w:tcW w:w="5280" w:type="dxa"/>
            <w:shd w:val="clear" w:color="auto" w:fill="auto"/>
            <w:vAlign w:val="center"/>
            <w:hideMark/>
          </w:tcPr>
          <w:p w:rsidR="00A501E4" w:rsidRPr="00A501E4" w:rsidRDefault="00A501E4" w:rsidP="009160A0">
            <w:pPr>
              <w:jc w:val="both"/>
            </w:pPr>
            <w:r w:rsidRPr="00A501E4">
              <w:t xml:space="preserve">3.3. Về tiêu: </w:t>
            </w:r>
            <w:r w:rsidR="0097405C">
              <w:t>H</w:t>
            </w:r>
            <w:r w:rsidRPr="00A501E4">
              <w:t>ệ thống tiêu thoát lũ</w:t>
            </w:r>
            <w:r w:rsidR="0097405C">
              <w:t xml:space="preserve"> đảm bảo tiêu thoát lũ theo </w:t>
            </w:r>
            <w:r w:rsidR="009160A0">
              <w:t>thiết kế</w:t>
            </w:r>
            <w:r w:rsidRPr="00A501E4">
              <w:t>; vụ sản xuất Hè Thu phải đảm bảo không ngập úng với tần suất 10%</w:t>
            </w:r>
            <w:r w:rsidR="009160A0">
              <w:t>.</w:t>
            </w:r>
          </w:p>
        </w:tc>
        <w:tc>
          <w:tcPr>
            <w:tcW w:w="1440" w:type="dxa"/>
            <w:shd w:val="clear" w:color="auto" w:fill="auto"/>
            <w:vAlign w:val="center"/>
            <w:hideMark/>
          </w:tcPr>
          <w:p w:rsidR="00A501E4" w:rsidRPr="00A501E4" w:rsidRDefault="00A501E4" w:rsidP="00A501E4">
            <w:pPr>
              <w:jc w:val="center"/>
            </w:pPr>
            <w:r w:rsidRPr="00A501E4">
              <w:t>Đạt</w:t>
            </w:r>
          </w:p>
        </w:tc>
      </w:tr>
      <w:tr w:rsidR="00A501E4" w:rsidRPr="00A501E4" w:rsidTr="00A501E4">
        <w:trPr>
          <w:trHeight w:val="630"/>
          <w:jc w:val="center"/>
        </w:trPr>
        <w:tc>
          <w:tcPr>
            <w:tcW w:w="680" w:type="dxa"/>
            <w:vMerge w:val="restart"/>
            <w:shd w:val="clear" w:color="auto" w:fill="auto"/>
            <w:vAlign w:val="center"/>
            <w:hideMark/>
          </w:tcPr>
          <w:p w:rsidR="00A501E4" w:rsidRPr="00A501E4" w:rsidRDefault="00A501E4" w:rsidP="00A501E4">
            <w:pPr>
              <w:jc w:val="center"/>
            </w:pPr>
            <w:r w:rsidRPr="00A501E4">
              <w:t>4</w:t>
            </w:r>
          </w:p>
        </w:tc>
        <w:tc>
          <w:tcPr>
            <w:tcW w:w="1920" w:type="dxa"/>
            <w:vMerge w:val="restart"/>
            <w:shd w:val="clear" w:color="auto" w:fill="auto"/>
            <w:vAlign w:val="center"/>
            <w:hideMark/>
          </w:tcPr>
          <w:p w:rsidR="00A501E4" w:rsidRPr="00A501E4" w:rsidRDefault="00A501E4" w:rsidP="00A501E4">
            <w:pPr>
              <w:jc w:val="center"/>
            </w:pPr>
            <w:r w:rsidRPr="00A501E4">
              <w:t>Điện</w:t>
            </w:r>
          </w:p>
        </w:tc>
        <w:tc>
          <w:tcPr>
            <w:tcW w:w="5280" w:type="dxa"/>
            <w:shd w:val="clear" w:color="auto" w:fill="auto"/>
            <w:vAlign w:val="center"/>
            <w:hideMark/>
          </w:tcPr>
          <w:p w:rsidR="00A501E4" w:rsidRPr="00A501E4" w:rsidRDefault="00A501E4" w:rsidP="00BA61BC">
            <w:pPr>
              <w:jc w:val="both"/>
            </w:pPr>
            <w:r w:rsidRPr="00A501E4">
              <w:t>4.1. Hệ thống điện</w:t>
            </w:r>
            <w:r w:rsidR="008C06F7">
              <w:t xml:space="preserve"> </w:t>
            </w:r>
            <w:r w:rsidR="008C06F7" w:rsidRPr="00BA61BC">
              <w:t xml:space="preserve">các </w:t>
            </w:r>
            <w:r w:rsidR="008C06F7">
              <w:t>xã đảm bảo kết nối đồng bộ với hệ thống điện</w:t>
            </w:r>
            <w:r w:rsidRPr="00A501E4">
              <w:t xml:space="preserve"> toàn huyện</w:t>
            </w:r>
            <w:r w:rsidR="008C06F7">
              <w:t>,</w:t>
            </w:r>
            <w:r w:rsidRPr="00A501E4">
              <w:t xml:space="preserve"> phù hợp với Quy hoạch.</w:t>
            </w:r>
          </w:p>
        </w:tc>
        <w:tc>
          <w:tcPr>
            <w:tcW w:w="1440" w:type="dxa"/>
            <w:shd w:val="clear" w:color="auto" w:fill="auto"/>
            <w:vAlign w:val="center"/>
            <w:hideMark/>
          </w:tcPr>
          <w:p w:rsidR="00A501E4" w:rsidRPr="00A501E4" w:rsidRDefault="00A501E4" w:rsidP="00A501E4">
            <w:pPr>
              <w:jc w:val="center"/>
            </w:pPr>
            <w:r w:rsidRPr="00A501E4">
              <w:t>Đạt</w:t>
            </w:r>
          </w:p>
        </w:tc>
      </w:tr>
      <w:tr w:rsidR="00A501E4" w:rsidRPr="00A501E4" w:rsidTr="00A501E4">
        <w:trPr>
          <w:trHeight w:val="630"/>
          <w:jc w:val="center"/>
        </w:trPr>
        <w:tc>
          <w:tcPr>
            <w:tcW w:w="680" w:type="dxa"/>
            <w:vMerge/>
            <w:vAlign w:val="center"/>
            <w:hideMark/>
          </w:tcPr>
          <w:p w:rsidR="00A501E4" w:rsidRPr="00A501E4" w:rsidRDefault="00A501E4" w:rsidP="00A501E4"/>
        </w:tc>
        <w:tc>
          <w:tcPr>
            <w:tcW w:w="1920" w:type="dxa"/>
            <w:vMerge/>
            <w:vAlign w:val="center"/>
            <w:hideMark/>
          </w:tcPr>
          <w:p w:rsidR="00A501E4" w:rsidRPr="00A501E4" w:rsidRDefault="00A501E4" w:rsidP="00A501E4"/>
        </w:tc>
        <w:tc>
          <w:tcPr>
            <w:tcW w:w="5280" w:type="dxa"/>
            <w:shd w:val="clear" w:color="auto" w:fill="auto"/>
            <w:vAlign w:val="center"/>
            <w:hideMark/>
          </w:tcPr>
          <w:p w:rsidR="00A501E4" w:rsidRPr="00A501E4" w:rsidRDefault="00A501E4" w:rsidP="00A501E4">
            <w:pPr>
              <w:jc w:val="both"/>
            </w:pPr>
            <w:r w:rsidRPr="00A501E4">
              <w:t>4.2. Hệ thống điện toàn huyện đảm bảo yêu cầu về an toàn và kỹ thuật của toàn hệ thống.</w:t>
            </w:r>
          </w:p>
        </w:tc>
        <w:tc>
          <w:tcPr>
            <w:tcW w:w="1440" w:type="dxa"/>
            <w:shd w:val="clear" w:color="auto" w:fill="auto"/>
            <w:vAlign w:val="center"/>
            <w:hideMark/>
          </w:tcPr>
          <w:p w:rsidR="00A501E4" w:rsidRPr="00A501E4" w:rsidRDefault="00A501E4" w:rsidP="00A501E4">
            <w:pPr>
              <w:jc w:val="center"/>
            </w:pPr>
            <w:r w:rsidRPr="00A501E4">
              <w:t>100%</w:t>
            </w:r>
          </w:p>
        </w:tc>
      </w:tr>
      <w:tr w:rsidR="00A501E4" w:rsidRPr="00A501E4" w:rsidTr="002579EC">
        <w:trPr>
          <w:trHeight w:val="1692"/>
          <w:jc w:val="center"/>
        </w:trPr>
        <w:tc>
          <w:tcPr>
            <w:tcW w:w="680" w:type="dxa"/>
            <w:vMerge w:val="restart"/>
            <w:shd w:val="clear" w:color="auto" w:fill="auto"/>
            <w:vAlign w:val="center"/>
            <w:hideMark/>
          </w:tcPr>
          <w:p w:rsidR="00A501E4" w:rsidRPr="00A501E4" w:rsidRDefault="00A501E4" w:rsidP="00A501E4">
            <w:pPr>
              <w:jc w:val="center"/>
            </w:pPr>
            <w:r w:rsidRPr="00A501E4">
              <w:lastRenderedPageBreak/>
              <w:t>5</w:t>
            </w:r>
          </w:p>
        </w:tc>
        <w:tc>
          <w:tcPr>
            <w:tcW w:w="1920" w:type="dxa"/>
            <w:vMerge w:val="restart"/>
            <w:shd w:val="clear" w:color="auto" w:fill="auto"/>
            <w:vAlign w:val="center"/>
            <w:hideMark/>
          </w:tcPr>
          <w:p w:rsidR="00A501E4" w:rsidRPr="00A501E4" w:rsidRDefault="00A501E4" w:rsidP="00A501E4">
            <w:pPr>
              <w:jc w:val="center"/>
            </w:pPr>
            <w:r w:rsidRPr="00A501E4">
              <w:t>Y tế - Văn hóa - Giáo dục</w:t>
            </w:r>
          </w:p>
        </w:tc>
        <w:tc>
          <w:tcPr>
            <w:tcW w:w="5280" w:type="dxa"/>
            <w:shd w:val="clear" w:color="auto" w:fill="auto"/>
            <w:vAlign w:val="center"/>
            <w:hideMark/>
          </w:tcPr>
          <w:p w:rsidR="00A501E4" w:rsidRPr="00A501E4" w:rsidRDefault="00A501E4" w:rsidP="00BA61BC">
            <w:pPr>
              <w:jc w:val="both"/>
            </w:pPr>
            <w:r w:rsidRPr="00A501E4">
              <w:t>5.1. Bệnh viện đa khoa và Trung tâm Y tế Dự phòng huyện</w:t>
            </w:r>
            <w:r w:rsidR="00BA61BC">
              <w:t xml:space="preserve"> </w:t>
            </w:r>
            <w:r w:rsidRPr="00A501E4">
              <w:t>đạt chuẩn hạng III trở lên; Trường hợp đã thành lập Trung tâm Y tế huyện (theo TT 51/2015/TTLT-BYT-BNV ngày 11/12/2015): Trung tâm Y tế huyện</w:t>
            </w:r>
            <w:r w:rsidR="00BA61BC">
              <w:t xml:space="preserve"> </w:t>
            </w:r>
            <w:r w:rsidRPr="00A501E4">
              <w:t>đạt chuẩn theo quy định.</w:t>
            </w:r>
          </w:p>
        </w:tc>
        <w:tc>
          <w:tcPr>
            <w:tcW w:w="1440" w:type="dxa"/>
            <w:shd w:val="clear" w:color="auto" w:fill="auto"/>
            <w:vAlign w:val="center"/>
            <w:hideMark/>
          </w:tcPr>
          <w:p w:rsidR="00A501E4" w:rsidRPr="00A501E4" w:rsidRDefault="00A501E4" w:rsidP="00A501E4">
            <w:pPr>
              <w:jc w:val="center"/>
            </w:pPr>
            <w:r w:rsidRPr="00A501E4">
              <w:t>Đạt</w:t>
            </w:r>
          </w:p>
        </w:tc>
      </w:tr>
      <w:tr w:rsidR="00A501E4" w:rsidRPr="00A501E4" w:rsidTr="00A501E4">
        <w:trPr>
          <w:trHeight w:val="945"/>
          <w:jc w:val="center"/>
        </w:trPr>
        <w:tc>
          <w:tcPr>
            <w:tcW w:w="680" w:type="dxa"/>
            <w:vMerge/>
            <w:vAlign w:val="center"/>
            <w:hideMark/>
          </w:tcPr>
          <w:p w:rsidR="00A501E4" w:rsidRPr="00A501E4" w:rsidRDefault="00A501E4" w:rsidP="00A501E4"/>
        </w:tc>
        <w:tc>
          <w:tcPr>
            <w:tcW w:w="1920" w:type="dxa"/>
            <w:vMerge/>
            <w:vAlign w:val="center"/>
            <w:hideMark/>
          </w:tcPr>
          <w:p w:rsidR="00A501E4" w:rsidRPr="00A501E4" w:rsidRDefault="00A501E4" w:rsidP="00A501E4"/>
        </w:tc>
        <w:tc>
          <w:tcPr>
            <w:tcW w:w="5280" w:type="dxa"/>
            <w:shd w:val="clear" w:color="auto" w:fill="auto"/>
            <w:vAlign w:val="center"/>
            <w:hideMark/>
          </w:tcPr>
          <w:p w:rsidR="00A501E4" w:rsidRPr="00A501E4" w:rsidRDefault="00A501E4" w:rsidP="00A501E4">
            <w:pPr>
              <w:jc w:val="both"/>
            </w:pPr>
            <w:r w:rsidRPr="00A501E4">
              <w:t>5.2. Trung tâm Văn hóa - Thể thao huyện đạt chuẩn; có tối thiểu 15% số chương trình hoạt động/năm có nội dung chuyên sâu về xây dựng nông thôn mới.</w:t>
            </w:r>
          </w:p>
        </w:tc>
        <w:tc>
          <w:tcPr>
            <w:tcW w:w="1440" w:type="dxa"/>
            <w:shd w:val="clear" w:color="auto" w:fill="auto"/>
            <w:vAlign w:val="center"/>
            <w:hideMark/>
          </w:tcPr>
          <w:p w:rsidR="00A501E4" w:rsidRPr="00A501E4" w:rsidRDefault="00A501E4" w:rsidP="00A501E4">
            <w:pPr>
              <w:jc w:val="center"/>
            </w:pPr>
            <w:r w:rsidRPr="00A501E4">
              <w:t>Đạt</w:t>
            </w:r>
          </w:p>
        </w:tc>
      </w:tr>
      <w:tr w:rsidR="00A501E4" w:rsidRPr="00A501E4" w:rsidTr="00A501E4">
        <w:trPr>
          <w:trHeight w:val="630"/>
          <w:jc w:val="center"/>
        </w:trPr>
        <w:tc>
          <w:tcPr>
            <w:tcW w:w="680" w:type="dxa"/>
            <w:vMerge/>
            <w:vAlign w:val="center"/>
            <w:hideMark/>
          </w:tcPr>
          <w:p w:rsidR="00A501E4" w:rsidRPr="00A501E4" w:rsidRDefault="00A501E4" w:rsidP="00A501E4"/>
        </w:tc>
        <w:tc>
          <w:tcPr>
            <w:tcW w:w="1920" w:type="dxa"/>
            <w:vMerge/>
            <w:vAlign w:val="center"/>
            <w:hideMark/>
          </w:tcPr>
          <w:p w:rsidR="00A501E4" w:rsidRPr="00A501E4" w:rsidRDefault="00A501E4" w:rsidP="00A501E4"/>
        </w:tc>
        <w:tc>
          <w:tcPr>
            <w:tcW w:w="5280" w:type="dxa"/>
            <w:shd w:val="clear" w:color="auto" w:fill="auto"/>
            <w:vAlign w:val="center"/>
            <w:hideMark/>
          </w:tcPr>
          <w:p w:rsidR="00A501E4" w:rsidRPr="00A501E4" w:rsidRDefault="00023046" w:rsidP="00A501E4">
            <w:pPr>
              <w:jc w:val="both"/>
            </w:pPr>
            <w:r>
              <w:t>5.3.</w:t>
            </w:r>
            <w:r w:rsidR="00A501E4" w:rsidRPr="00A501E4">
              <w:t xml:space="preserve"> Tỷ lệ trường Trung học phổ thông đạt chuẩn Quốc gia.</w:t>
            </w:r>
          </w:p>
        </w:tc>
        <w:tc>
          <w:tcPr>
            <w:tcW w:w="1440" w:type="dxa"/>
            <w:shd w:val="clear" w:color="auto" w:fill="auto"/>
            <w:vAlign w:val="center"/>
            <w:hideMark/>
          </w:tcPr>
          <w:p w:rsidR="00A501E4" w:rsidRPr="00A501E4" w:rsidRDefault="00A501E4" w:rsidP="00A501E4">
            <w:pPr>
              <w:jc w:val="center"/>
            </w:pPr>
            <w:r w:rsidRPr="00A501E4">
              <w:t>100%</w:t>
            </w:r>
          </w:p>
        </w:tc>
      </w:tr>
      <w:tr w:rsidR="00A501E4" w:rsidRPr="00A501E4" w:rsidTr="00A501E4">
        <w:trPr>
          <w:trHeight w:val="945"/>
          <w:jc w:val="center"/>
        </w:trPr>
        <w:tc>
          <w:tcPr>
            <w:tcW w:w="680" w:type="dxa"/>
            <w:vMerge w:val="restart"/>
            <w:shd w:val="clear" w:color="auto" w:fill="auto"/>
            <w:vAlign w:val="center"/>
            <w:hideMark/>
          </w:tcPr>
          <w:p w:rsidR="00A501E4" w:rsidRPr="00A501E4" w:rsidRDefault="00A501E4" w:rsidP="00A501E4">
            <w:pPr>
              <w:jc w:val="center"/>
            </w:pPr>
            <w:r w:rsidRPr="00A501E4">
              <w:t>6</w:t>
            </w:r>
          </w:p>
        </w:tc>
        <w:tc>
          <w:tcPr>
            <w:tcW w:w="1920" w:type="dxa"/>
            <w:vMerge w:val="restart"/>
            <w:shd w:val="clear" w:color="auto" w:fill="auto"/>
            <w:vAlign w:val="center"/>
            <w:hideMark/>
          </w:tcPr>
          <w:p w:rsidR="00A501E4" w:rsidRPr="00A501E4" w:rsidRDefault="00A501E4" w:rsidP="00A501E4">
            <w:pPr>
              <w:jc w:val="center"/>
            </w:pPr>
            <w:r w:rsidRPr="00A501E4">
              <w:t>Sản xuất</w:t>
            </w:r>
            <w:r w:rsidR="002579EC">
              <w:t>,</w:t>
            </w:r>
            <w:r w:rsidRPr="00A501E4">
              <w:t xml:space="preserve"> kinh doanh</w:t>
            </w:r>
          </w:p>
        </w:tc>
        <w:tc>
          <w:tcPr>
            <w:tcW w:w="5280" w:type="dxa"/>
            <w:shd w:val="clear" w:color="auto" w:fill="auto"/>
            <w:vAlign w:val="center"/>
            <w:hideMark/>
          </w:tcPr>
          <w:p w:rsidR="00A501E4" w:rsidRPr="00A501E4" w:rsidRDefault="00A501E4" w:rsidP="00A501E4">
            <w:pPr>
              <w:jc w:val="both"/>
            </w:pPr>
            <w:r w:rsidRPr="00A501E4">
              <w:t>6.1. Có ít nhất 02 vùng sản xuất sản phẩm nông nghiệp hàng hóa chuyên canh theo quy hoạch đảm bảo yêu cầu của nền kinh tế thị trường.</w:t>
            </w:r>
          </w:p>
        </w:tc>
        <w:tc>
          <w:tcPr>
            <w:tcW w:w="1440" w:type="dxa"/>
            <w:shd w:val="clear" w:color="auto" w:fill="auto"/>
            <w:vAlign w:val="center"/>
            <w:hideMark/>
          </w:tcPr>
          <w:p w:rsidR="00A501E4" w:rsidRPr="00A501E4" w:rsidRDefault="00A501E4" w:rsidP="00A501E4">
            <w:pPr>
              <w:jc w:val="center"/>
            </w:pPr>
            <w:r w:rsidRPr="00A501E4">
              <w:t>Đạt</w:t>
            </w:r>
          </w:p>
        </w:tc>
      </w:tr>
      <w:tr w:rsidR="00A501E4" w:rsidRPr="00A501E4" w:rsidTr="00A501E4">
        <w:trPr>
          <w:trHeight w:val="945"/>
          <w:jc w:val="center"/>
        </w:trPr>
        <w:tc>
          <w:tcPr>
            <w:tcW w:w="680" w:type="dxa"/>
            <w:vMerge/>
            <w:vAlign w:val="center"/>
            <w:hideMark/>
          </w:tcPr>
          <w:p w:rsidR="00A501E4" w:rsidRPr="00A501E4" w:rsidRDefault="00A501E4" w:rsidP="00A501E4"/>
        </w:tc>
        <w:tc>
          <w:tcPr>
            <w:tcW w:w="1920" w:type="dxa"/>
            <w:vMerge/>
            <w:vAlign w:val="center"/>
            <w:hideMark/>
          </w:tcPr>
          <w:p w:rsidR="00A501E4" w:rsidRPr="00A501E4" w:rsidRDefault="00A501E4" w:rsidP="00A501E4"/>
        </w:tc>
        <w:tc>
          <w:tcPr>
            <w:tcW w:w="5280" w:type="dxa"/>
            <w:shd w:val="clear" w:color="auto" w:fill="auto"/>
            <w:vAlign w:val="center"/>
            <w:hideMark/>
          </w:tcPr>
          <w:p w:rsidR="00A501E4" w:rsidRPr="00A501E4" w:rsidRDefault="00A501E4" w:rsidP="0048782C">
            <w:r w:rsidRPr="00A501E4">
              <w:t xml:space="preserve">6.2. </w:t>
            </w:r>
            <w:r w:rsidR="00E14E6B">
              <w:t>Có ít nhất 1 chợ trên địa bàn huyện đạt tiêu chí chợ loại II trở lên hoặc có ít nhất 1 trung tâm thương mại hoặc siêu thị từ hạng III trở lên</w:t>
            </w:r>
            <w:r w:rsidRPr="00A501E4">
              <w:t>.</w:t>
            </w:r>
          </w:p>
        </w:tc>
        <w:tc>
          <w:tcPr>
            <w:tcW w:w="1440" w:type="dxa"/>
            <w:shd w:val="clear" w:color="auto" w:fill="auto"/>
            <w:vAlign w:val="center"/>
            <w:hideMark/>
          </w:tcPr>
          <w:p w:rsidR="00A501E4" w:rsidRPr="00A501E4" w:rsidRDefault="00E14E6B" w:rsidP="00E14E6B">
            <w:pPr>
              <w:jc w:val="center"/>
            </w:pPr>
            <w:r>
              <w:t>Đạt</w:t>
            </w:r>
          </w:p>
        </w:tc>
      </w:tr>
      <w:tr w:rsidR="00A501E4" w:rsidRPr="00A501E4" w:rsidTr="00A501E4">
        <w:trPr>
          <w:trHeight w:val="630"/>
          <w:jc w:val="center"/>
        </w:trPr>
        <w:tc>
          <w:tcPr>
            <w:tcW w:w="680" w:type="dxa"/>
            <w:vMerge/>
            <w:vAlign w:val="center"/>
            <w:hideMark/>
          </w:tcPr>
          <w:p w:rsidR="00A501E4" w:rsidRPr="00A501E4" w:rsidRDefault="00A501E4" w:rsidP="00A501E4"/>
        </w:tc>
        <w:tc>
          <w:tcPr>
            <w:tcW w:w="1920" w:type="dxa"/>
            <w:vMerge/>
            <w:vAlign w:val="center"/>
            <w:hideMark/>
          </w:tcPr>
          <w:p w:rsidR="00A501E4" w:rsidRPr="00A501E4" w:rsidRDefault="00A501E4" w:rsidP="00A501E4"/>
        </w:tc>
        <w:tc>
          <w:tcPr>
            <w:tcW w:w="5280" w:type="dxa"/>
            <w:shd w:val="clear" w:color="auto" w:fill="auto"/>
            <w:vAlign w:val="center"/>
            <w:hideMark/>
          </w:tcPr>
          <w:p w:rsidR="00A501E4" w:rsidRPr="00A501E4" w:rsidRDefault="00A501E4" w:rsidP="00A501E4">
            <w:pPr>
              <w:jc w:val="both"/>
            </w:pPr>
            <w:r w:rsidRPr="00A501E4">
              <w:t>6.3. Có Khu công nghiệp - tiểu thủ công nghiệp tập trung theo quy hoạch.</w:t>
            </w:r>
          </w:p>
        </w:tc>
        <w:tc>
          <w:tcPr>
            <w:tcW w:w="1440" w:type="dxa"/>
            <w:shd w:val="clear" w:color="auto" w:fill="auto"/>
            <w:vAlign w:val="center"/>
            <w:hideMark/>
          </w:tcPr>
          <w:p w:rsidR="00A501E4" w:rsidRPr="00A501E4" w:rsidRDefault="00A501E4" w:rsidP="00A501E4">
            <w:pPr>
              <w:jc w:val="center"/>
            </w:pPr>
            <w:r w:rsidRPr="00A501E4">
              <w:t>Đạt</w:t>
            </w:r>
          </w:p>
        </w:tc>
      </w:tr>
      <w:tr w:rsidR="00A501E4" w:rsidRPr="00A501E4" w:rsidTr="00A501E4">
        <w:trPr>
          <w:trHeight w:val="630"/>
          <w:jc w:val="center"/>
        </w:trPr>
        <w:tc>
          <w:tcPr>
            <w:tcW w:w="680" w:type="dxa"/>
            <w:vMerge/>
            <w:vAlign w:val="center"/>
            <w:hideMark/>
          </w:tcPr>
          <w:p w:rsidR="00A501E4" w:rsidRPr="00A501E4" w:rsidRDefault="00A501E4" w:rsidP="00A501E4"/>
        </w:tc>
        <w:tc>
          <w:tcPr>
            <w:tcW w:w="1920" w:type="dxa"/>
            <w:vMerge/>
            <w:vAlign w:val="center"/>
            <w:hideMark/>
          </w:tcPr>
          <w:p w:rsidR="00A501E4" w:rsidRPr="00A501E4" w:rsidRDefault="00A501E4" w:rsidP="00A501E4"/>
        </w:tc>
        <w:tc>
          <w:tcPr>
            <w:tcW w:w="5280" w:type="dxa"/>
            <w:shd w:val="clear" w:color="auto" w:fill="auto"/>
            <w:vAlign w:val="center"/>
            <w:hideMark/>
          </w:tcPr>
          <w:p w:rsidR="00A501E4" w:rsidRPr="00A501E4" w:rsidRDefault="00A501E4" w:rsidP="00A501E4">
            <w:pPr>
              <w:jc w:val="both"/>
            </w:pPr>
            <w:r w:rsidRPr="00A501E4">
              <w:t>6.4. Có cơ sở bảo quản, chế biến</w:t>
            </w:r>
            <w:r w:rsidR="002579EC">
              <w:t>, tiêu thụ</w:t>
            </w:r>
            <w:r w:rsidRPr="00A501E4">
              <w:t xml:space="preserve"> gắn với vùng nguyên liệu.</w:t>
            </w:r>
          </w:p>
        </w:tc>
        <w:tc>
          <w:tcPr>
            <w:tcW w:w="1440" w:type="dxa"/>
            <w:shd w:val="clear" w:color="auto" w:fill="auto"/>
            <w:vAlign w:val="center"/>
            <w:hideMark/>
          </w:tcPr>
          <w:p w:rsidR="00A501E4" w:rsidRPr="00A501E4" w:rsidRDefault="00A501E4" w:rsidP="00A501E4">
            <w:pPr>
              <w:jc w:val="center"/>
            </w:pPr>
            <w:r w:rsidRPr="00A501E4">
              <w:t>Đạt</w:t>
            </w:r>
          </w:p>
        </w:tc>
      </w:tr>
      <w:tr w:rsidR="00A501E4" w:rsidRPr="00A501E4" w:rsidTr="00A501E4">
        <w:trPr>
          <w:trHeight w:val="1260"/>
          <w:jc w:val="center"/>
        </w:trPr>
        <w:tc>
          <w:tcPr>
            <w:tcW w:w="680" w:type="dxa"/>
            <w:vMerge w:val="restart"/>
            <w:shd w:val="clear" w:color="auto" w:fill="auto"/>
            <w:vAlign w:val="center"/>
            <w:hideMark/>
          </w:tcPr>
          <w:p w:rsidR="00A501E4" w:rsidRPr="00A501E4" w:rsidRDefault="00A501E4" w:rsidP="00A501E4">
            <w:pPr>
              <w:jc w:val="center"/>
            </w:pPr>
            <w:r w:rsidRPr="00A501E4">
              <w:t>7</w:t>
            </w:r>
          </w:p>
        </w:tc>
        <w:tc>
          <w:tcPr>
            <w:tcW w:w="1920" w:type="dxa"/>
            <w:vMerge w:val="restart"/>
            <w:shd w:val="clear" w:color="auto" w:fill="auto"/>
            <w:vAlign w:val="center"/>
            <w:hideMark/>
          </w:tcPr>
          <w:p w:rsidR="00A501E4" w:rsidRPr="00A501E4" w:rsidRDefault="00A501E4" w:rsidP="00A501E4">
            <w:pPr>
              <w:jc w:val="center"/>
            </w:pPr>
            <w:r w:rsidRPr="00A501E4">
              <w:t>Môi trường</w:t>
            </w:r>
          </w:p>
        </w:tc>
        <w:tc>
          <w:tcPr>
            <w:tcW w:w="5280" w:type="dxa"/>
            <w:shd w:val="clear" w:color="auto" w:fill="auto"/>
            <w:vAlign w:val="center"/>
            <w:hideMark/>
          </w:tcPr>
          <w:p w:rsidR="00A501E4" w:rsidRPr="00A501E4" w:rsidRDefault="00A501E4" w:rsidP="006375DF">
            <w:pPr>
              <w:jc w:val="both"/>
            </w:pPr>
            <w:r w:rsidRPr="00A501E4">
              <w:t>7</w:t>
            </w:r>
            <w:r w:rsidR="006375DF">
              <w:t xml:space="preserve">.1. Có </w:t>
            </w:r>
            <w:r w:rsidR="006375DF" w:rsidRPr="0002353F">
              <w:t>khu</w:t>
            </w:r>
            <w:r w:rsidR="006375DF">
              <w:t xml:space="preserve"> xử lý chất thải rắn </w:t>
            </w:r>
            <w:r w:rsidRPr="00A501E4">
              <w:t>theo quy hoạch đã được phê duyệt và có tổ chức thu gom, vận chuyển</w:t>
            </w:r>
            <w:r w:rsidR="0002353F">
              <w:t xml:space="preserve"> hoạt động có hiệu quả</w:t>
            </w:r>
            <w:r w:rsidR="006375DF">
              <w:t>; lượng</w:t>
            </w:r>
            <w:r w:rsidRPr="00A501E4">
              <w:t xml:space="preserve"> </w:t>
            </w:r>
            <w:r w:rsidR="006375DF">
              <w:t xml:space="preserve">chất thải rắn phát sinh được </w:t>
            </w:r>
            <w:r w:rsidRPr="00A501E4">
              <w:t>xử lý</w:t>
            </w:r>
            <w:r w:rsidR="006375DF">
              <w:t xml:space="preserve"> đạt tối thiểu</w:t>
            </w:r>
            <w:r w:rsidRPr="00A501E4">
              <w:t xml:space="preserve"> 90%.</w:t>
            </w:r>
          </w:p>
        </w:tc>
        <w:tc>
          <w:tcPr>
            <w:tcW w:w="1440" w:type="dxa"/>
            <w:shd w:val="clear" w:color="auto" w:fill="auto"/>
            <w:vAlign w:val="center"/>
            <w:hideMark/>
          </w:tcPr>
          <w:p w:rsidR="00A501E4" w:rsidRPr="00A501E4" w:rsidRDefault="00A501E4" w:rsidP="00A501E4">
            <w:pPr>
              <w:jc w:val="center"/>
            </w:pPr>
            <w:r w:rsidRPr="00A501E4">
              <w:t>Đạt</w:t>
            </w:r>
          </w:p>
        </w:tc>
      </w:tr>
      <w:tr w:rsidR="00A501E4" w:rsidRPr="00A501E4" w:rsidTr="00A501E4">
        <w:trPr>
          <w:trHeight w:val="945"/>
          <w:jc w:val="center"/>
        </w:trPr>
        <w:tc>
          <w:tcPr>
            <w:tcW w:w="680" w:type="dxa"/>
            <w:vMerge/>
            <w:vAlign w:val="center"/>
            <w:hideMark/>
          </w:tcPr>
          <w:p w:rsidR="00A501E4" w:rsidRPr="00A501E4" w:rsidRDefault="00A501E4" w:rsidP="00A501E4"/>
        </w:tc>
        <w:tc>
          <w:tcPr>
            <w:tcW w:w="1920" w:type="dxa"/>
            <w:vMerge/>
            <w:vAlign w:val="center"/>
            <w:hideMark/>
          </w:tcPr>
          <w:p w:rsidR="00A501E4" w:rsidRPr="00A501E4" w:rsidRDefault="00A501E4" w:rsidP="00A501E4"/>
        </w:tc>
        <w:tc>
          <w:tcPr>
            <w:tcW w:w="5280" w:type="dxa"/>
            <w:shd w:val="clear" w:color="auto" w:fill="auto"/>
            <w:vAlign w:val="center"/>
            <w:hideMark/>
          </w:tcPr>
          <w:p w:rsidR="00A501E4" w:rsidRPr="00A501E4" w:rsidRDefault="009B3482" w:rsidP="009B3482">
            <w:pPr>
              <w:jc w:val="both"/>
            </w:pPr>
            <w:r>
              <w:t>7.2. C</w:t>
            </w:r>
            <w:r w:rsidR="00A501E4" w:rsidRPr="00A501E4">
              <w:t>ác cơ sở sản xuất, chế biến, dịch vụ trên địa bàn huyện thực hiện đúng và đầy đủ các quy định về bảo vệ môi trường.</w:t>
            </w:r>
          </w:p>
        </w:tc>
        <w:tc>
          <w:tcPr>
            <w:tcW w:w="1440" w:type="dxa"/>
            <w:shd w:val="clear" w:color="auto" w:fill="auto"/>
            <w:vAlign w:val="center"/>
            <w:hideMark/>
          </w:tcPr>
          <w:p w:rsidR="00A501E4" w:rsidRPr="00A501E4" w:rsidRDefault="00A501E4" w:rsidP="00A501E4">
            <w:pPr>
              <w:jc w:val="center"/>
            </w:pPr>
            <w:r w:rsidRPr="00A501E4">
              <w:t>100%</w:t>
            </w:r>
          </w:p>
        </w:tc>
      </w:tr>
      <w:tr w:rsidR="00A501E4" w:rsidRPr="00A501E4" w:rsidTr="00A501E4">
        <w:trPr>
          <w:trHeight w:val="1260"/>
          <w:jc w:val="center"/>
        </w:trPr>
        <w:tc>
          <w:tcPr>
            <w:tcW w:w="680" w:type="dxa"/>
            <w:vMerge/>
            <w:vAlign w:val="center"/>
            <w:hideMark/>
          </w:tcPr>
          <w:p w:rsidR="00A501E4" w:rsidRPr="00A501E4" w:rsidRDefault="00A501E4" w:rsidP="00A501E4"/>
        </w:tc>
        <w:tc>
          <w:tcPr>
            <w:tcW w:w="1920" w:type="dxa"/>
            <w:vMerge/>
            <w:vAlign w:val="center"/>
            <w:hideMark/>
          </w:tcPr>
          <w:p w:rsidR="00A501E4" w:rsidRPr="00A501E4" w:rsidRDefault="00A501E4" w:rsidP="00A501E4"/>
        </w:tc>
        <w:tc>
          <w:tcPr>
            <w:tcW w:w="5280" w:type="dxa"/>
            <w:shd w:val="clear" w:color="auto" w:fill="auto"/>
            <w:vAlign w:val="center"/>
            <w:hideMark/>
          </w:tcPr>
          <w:p w:rsidR="00A501E4" w:rsidRPr="00A501E4" w:rsidRDefault="00A501E4" w:rsidP="00A501E4">
            <w:pPr>
              <w:jc w:val="both"/>
            </w:pPr>
            <w:r w:rsidRPr="00A501E4">
              <w:t>7.3. Có trên 95% dân số được sử dụng nước hợp vệ sinh; ít nhất 60% dân số trên địa bàn huyện sử dụng nước sạch đáp ứng Quy chuẩn quốc gia (QCVN 02: 2009/BYT).</w:t>
            </w:r>
          </w:p>
        </w:tc>
        <w:tc>
          <w:tcPr>
            <w:tcW w:w="1440" w:type="dxa"/>
            <w:shd w:val="clear" w:color="auto" w:fill="auto"/>
            <w:vAlign w:val="center"/>
            <w:hideMark/>
          </w:tcPr>
          <w:p w:rsidR="00A501E4" w:rsidRPr="00A501E4" w:rsidRDefault="00A501E4" w:rsidP="00A501E4">
            <w:pPr>
              <w:jc w:val="center"/>
            </w:pPr>
            <w:r w:rsidRPr="00A501E4">
              <w:t>Đạt</w:t>
            </w:r>
          </w:p>
        </w:tc>
      </w:tr>
      <w:tr w:rsidR="00A501E4" w:rsidRPr="00A501E4" w:rsidTr="00A501E4">
        <w:trPr>
          <w:trHeight w:val="945"/>
          <w:jc w:val="center"/>
        </w:trPr>
        <w:tc>
          <w:tcPr>
            <w:tcW w:w="680" w:type="dxa"/>
            <w:vMerge w:val="restart"/>
            <w:shd w:val="clear" w:color="auto" w:fill="auto"/>
            <w:vAlign w:val="center"/>
            <w:hideMark/>
          </w:tcPr>
          <w:p w:rsidR="00A501E4" w:rsidRPr="00A501E4" w:rsidRDefault="00A501E4" w:rsidP="00A501E4">
            <w:pPr>
              <w:jc w:val="center"/>
            </w:pPr>
            <w:r w:rsidRPr="00A501E4">
              <w:t>8</w:t>
            </w:r>
          </w:p>
        </w:tc>
        <w:tc>
          <w:tcPr>
            <w:tcW w:w="1920" w:type="dxa"/>
            <w:vMerge w:val="restart"/>
            <w:shd w:val="clear" w:color="auto" w:fill="auto"/>
            <w:vAlign w:val="center"/>
            <w:hideMark/>
          </w:tcPr>
          <w:p w:rsidR="00A501E4" w:rsidRPr="00A501E4" w:rsidRDefault="00A501E4" w:rsidP="00A501E4">
            <w:pPr>
              <w:jc w:val="center"/>
            </w:pPr>
            <w:r w:rsidRPr="00A501E4">
              <w:t>Khu dân cư nông thôn mới kiểu mẫu, vườn mẫu</w:t>
            </w:r>
          </w:p>
        </w:tc>
        <w:tc>
          <w:tcPr>
            <w:tcW w:w="5280" w:type="dxa"/>
            <w:shd w:val="clear" w:color="auto" w:fill="auto"/>
            <w:vAlign w:val="center"/>
            <w:hideMark/>
          </w:tcPr>
          <w:p w:rsidR="004C615D" w:rsidRPr="00A501E4" w:rsidRDefault="00A501E4" w:rsidP="004C615D">
            <w:pPr>
              <w:jc w:val="both"/>
            </w:pPr>
            <w:r w:rsidRPr="00A501E4">
              <w:t xml:space="preserve">8.1. </w:t>
            </w:r>
            <w:r w:rsidR="004C615D">
              <w:rPr>
                <w:szCs w:val="26"/>
              </w:rPr>
              <w:t>Tất cả các xã có ít nhất 35</w:t>
            </w:r>
            <w:r w:rsidR="004C615D" w:rsidRPr="00923AB8">
              <w:rPr>
                <w:szCs w:val="26"/>
              </w:rPr>
              <w:t>% số thôn đạt chuẩn</w:t>
            </w:r>
            <w:r w:rsidR="004C615D">
              <w:rPr>
                <w:szCs w:val="26"/>
              </w:rPr>
              <w:t xml:space="preserve"> (tối thiểu 02 thôn)</w:t>
            </w:r>
            <w:r w:rsidR="004C615D" w:rsidRPr="00923AB8">
              <w:rPr>
                <w:szCs w:val="26"/>
              </w:rPr>
              <w:t>, các thôn còn lại tối thiểu đạt 50% yêu cầu của Khu dân cư nông thôn mới kiểu mẫu</w:t>
            </w:r>
          </w:p>
        </w:tc>
        <w:tc>
          <w:tcPr>
            <w:tcW w:w="1440" w:type="dxa"/>
            <w:shd w:val="clear" w:color="auto" w:fill="auto"/>
            <w:vAlign w:val="center"/>
            <w:hideMark/>
          </w:tcPr>
          <w:p w:rsidR="00A501E4" w:rsidRPr="00A501E4" w:rsidRDefault="00A501E4" w:rsidP="00A501E4">
            <w:pPr>
              <w:jc w:val="center"/>
            </w:pPr>
            <w:r w:rsidRPr="00A501E4">
              <w:t>Đạt</w:t>
            </w:r>
          </w:p>
        </w:tc>
      </w:tr>
      <w:tr w:rsidR="00A501E4" w:rsidRPr="00A501E4" w:rsidTr="00A501E4">
        <w:trPr>
          <w:trHeight w:val="945"/>
          <w:jc w:val="center"/>
        </w:trPr>
        <w:tc>
          <w:tcPr>
            <w:tcW w:w="680" w:type="dxa"/>
            <w:vMerge/>
            <w:vAlign w:val="center"/>
            <w:hideMark/>
          </w:tcPr>
          <w:p w:rsidR="00A501E4" w:rsidRPr="00A501E4" w:rsidRDefault="00A501E4" w:rsidP="00A501E4"/>
        </w:tc>
        <w:tc>
          <w:tcPr>
            <w:tcW w:w="1920" w:type="dxa"/>
            <w:vMerge/>
            <w:vAlign w:val="center"/>
            <w:hideMark/>
          </w:tcPr>
          <w:p w:rsidR="00A501E4" w:rsidRPr="00A501E4" w:rsidRDefault="00A501E4" w:rsidP="00A501E4"/>
        </w:tc>
        <w:tc>
          <w:tcPr>
            <w:tcW w:w="5280" w:type="dxa"/>
            <w:shd w:val="clear" w:color="auto" w:fill="auto"/>
            <w:vAlign w:val="center"/>
            <w:hideMark/>
          </w:tcPr>
          <w:p w:rsidR="00A501E4" w:rsidRPr="00A501E4" w:rsidRDefault="00A501E4" w:rsidP="005D1F85">
            <w:pPr>
              <w:jc w:val="both"/>
            </w:pPr>
            <w:r w:rsidRPr="00A501E4">
              <w:t xml:space="preserve">8.2. Tất cả các xã đều có có ít nhất 10 vườn mẫu/xã đạt chuẩn và </w:t>
            </w:r>
            <w:r w:rsidR="00D32F8B">
              <w:t>đối với vườn có diện tích từ 200 m</w:t>
            </w:r>
            <w:r w:rsidR="00D32F8B">
              <w:rPr>
                <w:vertAlign w:val="superscript"/>
              </w:rPr>
              <w:t>2</w:t>
            </w:r>
            <w:r w:rsidR="005D1F85">
              <w:t xml:space="preserve"> trở lên</w:t>
            </w:r>
            <w:r w:rsidRPr="00A501E4">
              <w:t xml:space="preserve"> phải có </w:t>
            </w:r>
            <w:r w:rsidR="00D32F8B">
              <w:t xml:space="preserve">bản vẽ hoặc sơ đồ </w:t>
            </w:r>
            <w:r w:rsidRPr="00D32F8B">
              <w:t>quy hoạch - thiết kế xây dựng vườn</w:t>
            </w:r>
            <w:r w:rsidRPr="00A501E4">
              <w:t>.</w:t>
            </w:r>
          </w:p>
        </w:tc>
        <w:tc>
          <w:tcPr>
            <w:tcW w:w="1440" w:type="dxa"/>
            <w:shd w:val="clear" w:color="auto" w:fill="auto"/>
            <w:vAlign w:val="center"/>
            <w:hideMark/>
          </w:tcPr>
          <w:p w:rsidR="00A501E4" w:rsidRPr="00A501E4" w:rsidRDefault="00A501E4" w:rsidP="00A501E4">
            <w:pPr>
              <w:jc w:val="center"/>
            </w:pPr>
            <w:r w:rsidRPr="00A501E4">
              <w:t>Đạt</w:t>
            </w:r>
          </w:p>
        </w:tc>
      </w:tr>
      <w:tr w:rsidR="00A501E4" w:rsidRPr="00A501E4" w:rsidTr="00A501E4">
        <w:trPr>
          <w:trHeight w:val="1575"/>
          <w:jc w:val="center"/>
        </w:trPr>
        <w:tc>
          <w:tcPr>
            <w:tcW w:w="680" w:type="dxa"/>
            <w:vMerge w:val="restart"/>
            <w:shd w:val="clear" w:color="auto" w:fill="auto"/>
            <w:vAlign w:val="center"/>
            <w:hideMark/>
          </w:tcPr>
          <w:p w:rsidR="00A501E4" w:rsidRPr="00A501E4" w:rsidRDefault="00A501E4" w:rsidP="00A501E4">
            <w:pPr>
              <w:jc w:val="center"/>
            </w:pPr>
            <w:r w:rsidRPr="00A501E4">
              <w:t>9</w:t>
            </w:r>
          </w:p>
        </w:tc>
        <w:tc>
          <w:tcPr>
            <w:tcW w:w="1920" w:type="dxa"/>
            <w:vMerge w:val="restart"/>
            <w:shd w:val="clear" w:color="auto" w:fill="auto"/>
            <w:vAlign w:val="center"/>
            <w:hideMark/>
          </w:tcPr>
          <w:p w:rsidR="00A501E4" w:rsidRPr="00A501E4" w:rsidRDefault="00A501E4" w:rsidP="00A501E4">
            <w:pPr>
              <w:jc w:val="center"/>
            </w:pPr>
            <w:r w:rsidRPr="00A501E4">
              <w:t xml:space="preserve">Hệ thống tổ chức chỉ đạo, điều phối thực hiện Chương trình xây dựng nông thôn </w:t>
            </w:r>
            <w:r w:rsidRPr="00A501E4">
              <w:lastRenderedPageBreak/>
              <w:t>mới</w:t>
            </w:r>
          </w:p>
        </w:tc>
        <w:tc>
          <w:tcPr>
            <w:tcW w:w="5280" w:type="dxa"/>
            <w:shd w:val="clear" w:color="auto" w:fill="auto"/>
            <w:vAlign w:val="center"/>
            <w:hideMark/>
          </w:tcPr>
          <w:p w:rsidR="00157D7A" w:rsidRPr="00A501E4" w:rsidRDefault="00157D7A" w:rsidP="00DB74D2">
            <w:pPr>
              <w:jc w:val="both"/>
            </w:pPr>
            <w:r>
              <w:rPr>
                <w:color w:val="000000" w:themeColor="text1"/>
              </w:rPr>
              <w:lastRenderedPageBreak/>
              <w:t>9.1. Ban Chỉ đạo Chương trình mục tiêu quốc gia xây dựng nông thôn mới huyện được kiện toàn tổ chức</w:t>
            </w:r>
            <w:r w:rsidR="00A57A52">
              <w:rPr>
                <w:color w:val="000000" w:themeColor="text1"/>
              </w:rPr>
              <w:t xml:space="preserve"> đúng quy định</w:t>
            </w:r>
            <w:r w:rsidR="008D2B95">
              <w:rPr>
                <w:color w:val="000000" w:themeColor="text1"/>
              </w:rPr>
              <w:t xml:space="preserve"> và</w:t>
            </w:r>
            <w:r>
              <w:rPr>
                <w:color w:val="000000" w:themeColor="text1"/>
              </w:rPr>
              <w:t xml:space="preserve"> hoạt động </w:t>
            </w:r>
            <w:r w:rsidRPr="00A57A52">
              <w:t>có hiệu quả.</w:t>
            </w:r>
          </w:p>
        </w:tc>
        <w:tc>
          <w:tcPr>
            <w:tcW w:w="1440" w:type="dxa"/>
            <w:shd w:val="clear" w:color="auto" w:fill="auto"/>
            <w:vAlign w:val="center"/>
            <w:hideMark/>
          </w:tcPr>
          <w:p w:rsidR="00A501E4" w:rsidRPr="00A501E4" w:rsidRDefault="00A501E4" w:rsidP="00A501E4">
            <w:pPr>
              <w:jc w:val="center"/>
            </w:pPr>
            <w:r w:rsidRPr="00A501E4">
              <w:t>Đạt</w:t>
            </w:r>
          </w:p>
        </w:tc>
      </w:tr>
      <w:tr w:rsidR="00A501E4" w:rsidRPr="00A501E4" w:rsidTr="00A501E4">
        <w:trPr>
          <w:trHeight w:val="1020"/>
          <w:jc w:val="center"/>
        </w:trPr>
        <w:tc>
          <w:tcPr>
            <w:tcW w:w="680" w:type="dxa"/>
            <w:vMerge/>
            <w:vAlign w:val="center"/>
            <w:hideMark/>
          </w:tcPr>
          <w:p w:rsidR="00A501E4" w:rsidRPr="00A501E4" w:rsidRDefault="00A501E4" w:rsidP="00A501E4"/>
        </w:tc>
        <w:tc>
          <w:tcPr>
            <w:tcW w:w="1920" w:type="dxa"/>
            <w:vMerge/>
            <w:vAlign w:val="center"/>
            <w:hideMark/>
          </w:tcPr>
          <w:p w:rsidR="00A501E4" w:rsidRPr="00A501E4" w:rsidRDefault="00A501E4" w:rsidP="00A501E4"/>
        </w:tc>
        <w:tc>
          <w:tcPr>
            <w:tcW w:w="5280" w:type="dxa"/>
            <w:shd w:val="clear" w:color="auto" w:fill="auto"/>
            <w:vAlign w:val="center"/>
            <w:hideMark/>
          </w:tcPr>
          <w:p w:rsidR="00157D7A" w:rsidRPr="0026700F" w:rsidRDefault="00157D7A" w:rsidP="00DB74D2">
            <w:pPr>
              <w:jc w:val="both"/>
              <w:rPr>
                <w:lang w:val="de-DE"/>
              </w:rPr>
            </w:pPr>
            <w:r w:rsidRPr="0026700F">
              <w:t>9.2.</w:t>
            </w:r>
            <w:r w:rsidRPr="0026700F">
              <w:rPr>
                <w:lang w:val="de-DE"/>
              </w:rPr>
              <w:t xml:space="preserve"> Văn phòng Điều phối Chương trình</w:t>
            </w:r>
            <w:r w:rsidR="00DB74D2" w:rsidRPr="0026700F">
              <w:rPr>
                <w:lang w:val="de-DE"/>
              </w:rPr>
              <w:t xml:space="preserve"> </w:t>
            </w:r>
            <w:r w:rsidRPr="0026700F">
              <w:rPr>
                <w:lang w:val="de-DE"/>
              </w:rPr>
              <w:t>nông thôn mới huyện</w:t>
            </w:r>
            <w:r w:rsidR="00A57A52" w:rsidRPr="0026700F">
              <w:rPr>
                <w:lang w:val="de-DE"/>
              </w:rPr>
              <w:t xml:space="preserve"> được tổ chức đúng quy định, </w:t>
            </w:r>
            <w:r w:rsidRPr="0026700F">
              <w:rPr>
                <w:lang w:val="de-DE"/>
              </w:rPr>
              <w:t xml:space="preserve">chuyên trách, </w:t>
            </w:r>
            <w:r w:rsidR="00A57A52" w:rsidRPr="0026700F">
              <w:rPr>
                <w:lang w:val="de-DE"/>
              </w:rPr>
              <w:t>chuyên nghiệp</w:t>
            </w:r>
            <w:r w:rsidR="00282404" w:rsidRPr="0026700F">
              <w:rPr>
                <w:lang w:val="de-DE"/>
              </w:rPr>
              <w:t xml:space="preserve"> v</w:t>
            </w:r>
            <w:r w:rsidR="00DB74D2" w:rsidRPr="0026700F">
              <w:rPr>
                <w:lang w:val="de-DE"/>
              </w:rPr>
              <w:t>à</w:t>
            </w:r>
            <w:r w:rsidR="00A57A52" w:rsidRPr="0026700F">
              <w:rPr>
                <w:lang w:val="de-DE"/>
              </w:rPr>
              <w:t xml:space="preserve"> </w:t>
            </w:r>
            <w:r w:rsidRPr="0026700F">
              <w:rPr>
                <w:lang w:val="de-DE"/>
              </w:rPr>
              <w:t>hoạt động hiệu quả.</w:t>
            </w:r>
          </w:p>
        </w:tc>
        <w:tc>
          <w:tcPr>
            <w:tcW w:w="1440" w:type="dxa"/>
            <w:shd w:val="clear" w:color="auto" w:fill="auto"/>
            <w:vAlign w:val="center"/>
            <w:hideMark/>
          </w:tcPr>
          <w:p w:rsidR="00A501E4" w:rsidRPr="00A501E4" w:rsidRDefault="00A501E4" w:rsidP="00A501E4">
            <w:pPr>
              <w:jc w:val="center"/>
            </w:pPr>
            <w:r w:rsidRPr="00A501E4">
              <w:t>Đạt</w:t>
            </w:r>
          </w:p>
        </w:tc>
      </w:tr>
      <w:tr w:rsidR="00A501E4" w:rsidRPr="00A501E4" w:rsidTr="00A501E4">
        <w:trPr>
          <w:trHeight w:val="1260"/>
          <w:jc w:val="center"/>
        </w:trPr>
        <w:tc>
          <w:tcPr>
            <w:tcW w:w="680" w:type="dxa"/>
            <w:vMerge w:val="restart"/>
            <w:shd w:val="clear" w:color="auto" w:fill="auto"/>
            <w:vAlign w:val="center"/>
            <w:hideMark/>
          </w:tcPr>
          <w:p w:rsidR="00A501E4" w:rsidRPr="00A501E4" w:rsidRDefault="00A501E4" w:rsidP="00A501E4">
            <w:pPr>
              <w:jc w:val="center"/>
            </w:pPr>
            <w:r w:rsidRPr="00A501E4">
              <w:lastRenderedPageBreak/>
              <w:t>10</w:t>
            </w:r>
          </w:p>
        </w:tc>
        <w:tc>
          <w:tcPr>
            <w:tcW w:w="1920" w:type="dxa"/>
            <w:vMerge w:val="restart"/>
            <w:shd w:val="clear" w:color="auto" w:fill="auto"/>
            <w:vAlign w:val="center"/>
            <w:hideMark/>
          </w:tcPr>
          <w:p w:rsidR="00A501E4" w:rsidRPr="00A501E4" w:rsidRDefault="00A501E4" w:rsidP="00A501E4">
            <w:pPr>
              <w:jc w:val="center"/>
            </w:pPr>
            <w:r w:rsidRPr="00A501E4">
              <w:t>Hệ thống Chính trị, An ninh, trật tự xã hội</w:t>
            </w:r>
          </w:p>
        </w:tc>
        <w:tc>
          <w:tcPr>
            <w:tcW w:w="5280" w:type="dxa"/>
            <w:shd w:val="clear" w:color="auto" w:fill="auto"/>
            <w:vAlign w:val="center"/>
            <w:hideMark/>
          </w:tcPr>
          <w:p w:rsidR="00A501E4" w:rsidRPr="00A501E4" w:rsidRDefault="00A501E4" w:rsidP="00A501E4">
            <w:pPr>
              <w:jc w:val="both"/>
            </w:pPr>
            <w:r w:rsidRPr="00A501E4">
              <w:t>10.1. Đảng bộ, Chính quyền cấp huyện và tất cả các hệ thống chính trị xã hội khác đạt danh hiệu trong sạch vững mạnh, xuất sắc năm xét công nhận đạt chuẩn và ít nhất 01 năm liền kề trước đó.</w:t>
            </w:r>
          </w:p>
        </w:tc>
        <w:tc>
          <w:tcPr>
            <w:tcW w:w="1440" w:type="dxa"/>
            <w:shd w:val="clear" w:color="auto" w:fill="auto"/>
            <w:vAlign w:val="center"/>
            <w:hideMark/>
          </w:tcPr>
          <w:p w:rsidR="00A501E4" w:rsidRPr="00A501E4" w:rsidRDefault="00A501E4" w:rsidP="00A501E4">
            <w:pPr>
              <w:jc w:val="center"/>
            </w:pPr>
            <w:r w:rsidRPr="00A501E4">
              <w:t>Đạt</w:t>
            </w:r>
          </w:p>
        </w:tc>
      </w:tr>
      <w:tr w:rsidR="00A501E4" w:rsidRPr="00A501E4" w:rsidTr="00A501E4">
        <w:trPr>
          <w:trHeight w:val="1260"/>
          <w:jc w:val="center"/>
        </w:trPr>
        <w:tc>
          <w:tcPr>
            <w:tcW w:w="680" w:type="dxa"/>
            <w:vMerge/>
            <w:vAlign w:val="center"/>
            <w:hideMark/>
          </w:tcPr>
          <w:p w:rsidR="00A501E4" w:rsidRPr="00A501E4" w:rsidRDefault="00A501E4" w:rsidP="00A501E4"/>
        </w:tc>
        <w:tc>
          <w:tcPr>
            <w:tcW w:w="1920" w:type="dxa"/>
            <w:vMerge/>
            <w:vAlign w:val="center"/>
            <w:hideMark/>
          </w:tcPr>
          <w:p w:rsidR="00A501E4" w:rsidRPr="00A501E4" w:rsidRDefault="00A501E4" w:rsidP="00A501E4"/>
        </w:tc>
        <w:tc>
          <w:tcPr>
            <w:tcW w:w="5280" w:type="dxa"/>
            <w:shd w:val="clear" w:color="auto" w:fill="auto"/>
            <w:vAlign w:val="center"/>
            <w:hideMark/>
          </w:tcPr>
          <w:p w:rsidR="00A501E4" w:rsidRPr="00A501E4" w:rsidRDefault="00A501E4" w:rsidP="00A501E4">
            <w:pPr>
              <w:jc w:val="both"/>
            </w:pPr>
            <w:r w:rsidRPr="00A501E4">
              <w:t>10.2. Không có tổ chức, cá nhân hoạt động chống Đảng, chính quyền, phá hoại kinh tế; truyền đạo trái pháp luật, khiếu kiện đông người kéo dài; không có tụ điểm phức tạp về an ninh trật tự xã hội.</w:t>
            </w:r>
          </w:p>
        </w:tc>
        <w:tc>
          <w:tcPr>
            <w:tcW w:w="1440" w:type="dxa"/>
            <w:shd w:val="clear" w:color="auto" w:fill="auto"/>
            <w:vAlign w:val="center"/>
            <w:hideMark/>
          </w:tcPr>
          <w:p w:rsidR="00A501E4" w:rsidRPr="00A501E4" w:rsidRDefault="00A501E4" w:rsidP="00A501E4">
            <w:pPr>
              <w:jc w:val="center"/>
            </w:pPr>
            <w:r w:rsidRPr="00A501E4">
              <w:t>Đạt</w:t>
            </w:r>
          </w:p>
        </w:tc>
      </w:tr>
    </w:tbl>
    <w:p w:rsidR="00506960" w:rsidRDefault="00506960" w:rsidP="00506960">
      <w:pPr>
        <w:rPr>
          <w:color w:val="000000"/>
          <w:sz w:val="22"/>
          <w:szCs w:val="22"/>
        </w:rPr>
      </w:pPr>
    </w:p>
    <w:p w:rsidR="00425A85" w:rsidRDefault="00425A85" w:rsidP="00506960">
      <w:pPr>
        <w:spacing w:before="120"/>
        <w:ind w:firstLine="720"/>
        <w:jc w:val="both"/>
        <w:rPr>
          <w:b/>
          <w:color w:val="000000"/>
          <w:sz w:val="28"/>
        </w:rPr>
      </w:pPr>
      <w:r>
        <w:rPr>
          <w:b/>
          <w:color w:val="000000"/>
          <w:sz w:val="28"/>
        </w:rPr>
        <w:t>B. THỊ XÃ, THÀNH PHỐ ĐẠT CHUẨN CÁC NỘI DUNG VỀ XÂY DỰNG NÔNG THÔN MỚI:</w:t>
      </w:r>
    </w:p>
    <w:p w:rsidR="001C0A38" w:rsidRDefault="001C0A38" w:rsidP="001C0A38">
      <w:pPr>
        <w:spacing w:before="120"/>
        <w:ind w:firstLine="720"/>
        <w:jc w:val="both"/>
        <w:rPr>
          <w:b/>
          <w:color w:val="000000"/>
          <w:sz w:val="28"/>
          <w:szCs w:val="22"/>
        </w:rPr>
      </w:pPr>
      <w:r>
        <w:rPr>
          <w:b/>
          <w:color w:val="000000"/>
          <w:sz w:val="28"/>
          <w:szCs w:val="22"/>
        </w:rPr>
        <w:t>I. Về tỷ lệ xã đạt chuẩn và đạt chuẩn kiểu mẫu:</w:t>
      </w:r>
    </w:p>
    <w:p w:rsidR="001C0A38" w:rsidRDefault="001C0A38" w:rsidP="001C0A38">
      <w:pPr>
        <w:spacing w:before="120"/>
        <w:ind w:firstLine="720"/>
        <w:jc w:val="both"/>
        <w:rPr>
          <w:color w:val="000000"/>
          <w:sz w:val="28"/>
          <w:szCs w:val="22"/>
        </w:rPr>
      </w:pPr>
      <w:r>
        <w:rPr>
          <w:color w:val="000000"/>
          <w:sz w:val="28"/>
          <w:szCs w:val="22"/>
        </w:rPr>
        <w:t>1. Có 100% số xã đạt chuẩn nông thôn mới;</w:t>
      </w:r>
    </w:p>
    <w:p w:rsidR="001C0A38" w:rsidRDefault="001C0A38" w:rsidP="001C0A38">
      <w:pPr>
        <w:spacing w:before="120"/>
        <w:ind w:firstLine="720"/>
        <w:jc w:val="both"/>
        <w:rPr>
          <w:color w:val="000000"/>
          <w:sz w:val="28"/>
          <w:szCs w:val="22"/>
        </w:rPr>
      </w:pPr>
      <w:r>
        <w:rPr>
          <w:color w:val="000000"/>
          <w:sz w:val="28"/>
          <w:szCs w:val="22"/>
        </w:rPr>
        <w:t>2. Có tối thiểu 2</w:t>
      </w:r>
      <w:r w:rsidR="002C3F8A">
        <w:rPr>
          <w:color w:val="000000"/>
          <w:sz w:val="28"/>
          <w:szCs w:val="22"/>
        </w:rPr>
        <w:t>5</w:t>
      </w:r>
      <w:r>
        <w:rPr>
          <w:color w:val="000000"/>
          <w:sz w:val="28"/>
          <w:szCs w:val="22"/>
        </w:rPr>
        <w:t>% số xã đạt chuẩn nông thôn mới kiểu mẫu.</w:t>
      </w:r>
    </w:p>
    <w:p w:rsidR="001C0A38" w:rsidRDefault="001C0A38" w:rsidP="001C0A38">
      <w:pPr>
        <w:spacing w:before="120"/>
        <w:ind w:firstLine="720"/>
        <w:rPr>
          <w:b/>
          <w:color w:val="000000"/>
          <w:sz w:val="28"/>
          <w:szCs w:val="22"/>
        </w:rPr>
      </w:pPr>
      <w:r w:rsidRPr="001A2039">
        <w:rPr>
          <w:b/>
          <w:sz w:val="28"/>
          <w:szCs w:val="22"/>
        </w:rPr>
        <w:t>II. Về nội dung:</w:t>
      </w:r>
      <w:r>
        <w:rPr>
          <w:b/>
          <w:color w:val="000000"/>
          <w:sz w:val="28"/>
          <w:szCs w:val="22"/>
        </w:rPr>
        <w:t xml:space="preserve"> Phải đạt chuẩn các </w:t>
      </w:r>
      <w:r w:rsidR="002C3F8A">
        <w:rPr>
          <w:b/>
          <w:color w:val="000000"/>
          <w:sz w:val="28"/>
          <w:szCs w:val="22"/>
        </w:rPr>
        <w:t>yêu cầu</w:t>
      </w:r>
      <w:r>
        <w:rPr>
          <w:b/>
          <w:color w:val="000000"/>
          <w:sz w:val="28"/>
          <w:szCs w:val="22"/>
        </w:rPr>
        <w:t xml:space="preserve"> sau:</w:t>
      </w:r>
    </w:p>
    <w:p w:rsidR="00D91877" w:rsidRPr="00E30A15" w:rsidRDefault="00D91877" w:rsidP="004B4500">
      <w:pPr>
        <w:spacing w:before="120"/>
        <w:ind w:firstLine="720"/>
        <w:jc w:val="both"/>
        <w:rPr>
          <w:color w:val="000000"/>
          <w:sz w:val="28"/>
          <w:szCs w:val="22"/>
        </w:rPr>
      </w:pPr>
      <w:r w:rsidRPr="00E30A15">
        <w:rPr>
          <w:color w:val="000000"/>
          <w:sz w:val="28"/>
          <w:szCs w:val="22"/>
        </w:rPr>
        <w:t>1. Hệ thống quy hoạch phải đảm bảo sự kết nối đồng bộ giữa vùng nông thôn và đô thị</w:t>
      </w:r>
      <w:r w:rsidR="004B4500" w:rsidRPr="00E30A15">
        <w:rPr>
          <w:color w:val="000000"/>
          <w:sz w:val="28"/>
          <w:szCs w:val="22"/>
        </w:rPr>
        <w:t>.</w:t>
      </w:r>
    </w:p>
    <w:p w:rsidR="00D91877" w:rsidRPr="00E30A15" w:rsidRDefault="00D91877" w:rsidP="004B4500">
      <w:pPr>
        <w:spacing w:before="120"/>
        <w:ind w:firstLine="720"/>
        <w:jc w:val="both"/>
        <w:rPr>
          <w:color w:val="984806" w:themeColor="accent6" w:themeShade="80"/>
          <w:sz w:val="28"/>
          <w:szCs w:val="22"/>
        </w:rPr>
      </w:pPr>
      <w:r w:rsidRPr="00E30A15">
        <w:rPr>
          <w:color w:val="000000"/>
          <w:sz w:val="28"/>
          <w:szCs w:val="22"/>
        </w:rPr>
        <w:t xml:space="preserve">2. Phải có các kết nối về cơ sở hạ tầng (giao thông, điện, xử lý môi trường,…) đến các xã đảm bảo yêu cầu theo </w:t>
      </w:r>
      <w:r w:rsidR="004B4500" w:rsidRPr="00E30A15">
        <w:rPr>
          <w:color w:val="000000"/>
          <w:sz w:val="28"/>
          <w:szCs w:val="22"/>
        </w:rPr>
        <w:t>hướng hiện đại, văn minh đo thị.</w:t>
      </w:r>
    </w:p>
    <w:p w:rsidR="00D91877" w:rsidRPr="00E30A15" w:rsidRDefault="00D91877" w:rsidP="004B4500">
      <w:pPr>
        <w:spacing w:before="120"/>
        <w:ind w:firstLine="720"/>
        <w:jc w:val="both"/>
        <w:rPr>
          <w:sz w:val="28"/>
          <w:szCs w:val="22"/>
        </w:rPr>
      </w:pPr>
      <w:r w:rsidRPr="00E30A15">
        <w:rPr>
          <w:sz w:val="28"/>
          <w:szCs w:val="22"/>
        </w:rPr>
        <w:t xml:space="preserve">3. </w:t>
      </w:r>
      <w:r w:rsidR="004B4500" w:rsidRPr="00E30A15">
        <w:rPr>
          <w:sz w:val="28"/>
          <w:szCs w:val="22"/>
        </w:rPr>
        <w:t>S</w:t>
      </w:r>
      <w:r w:rsidRPr="00E30A15">
        <w:rPr>
          <w:sz w:val="28"/>
          <w:szCs w:val="22"/>
        </w:rPr>
        <w:t>ản xuất kinh doanh vùng nông thôn phải theo hướng nông nghiệp đô thị</w:t>
      </w:r>
      <w:r w:rsidR="004B4500" w:rsidRPr="00E30A15">
        <w:rPr>
          <w:sz w:val="28"/>
          <w:szCs w:val="22"/>
        </w:rPr>
        <w:t>,</w:t>
      </w:r>
      <w:r w:rsidRPr="00E30A15">
        <w:rPr>
          <w:sz w:val="28"/>
          <w:szCs w:val="22"/>
        </w:rPr>
        <w:t xml:space="preserve"> có công nghệ cao</w:t>
      </w:r>
      <w:r w:rsidR="004B4500" w:rsidRPr="00E30A15">
        <w:rPr>
          <w:sz w:val="28"/>
          <w:szCs w:val="22"/>
        </w:rPr>
        <w:t>.</w:t>
      </w:r>
    </w:p>
    <w:p w:rsidR="002C3F8A" w:rsidRPr="00E30A15" w:rsidRDefault="00D91877" w:rsidP="004B4500">
      <w:pPr>
        <w:spacing w:before="120"/>
        <w:ind w:firstLine="720"/>
        <w:jc w:val="both"/>
        <w:rPr>
          <w:color w:val="000000"/>
          <w:sz w:val="28"/>
          <w:szCs w:val="22"/>
        </w:rPr>
      </w:pPr>
      <w:r w:rsidRPr="00E30A15">
        <w:rPr>
          <w:color w:val="000000"/>
          <w:sz w:val="28"/>
          <w:szCs w:val="22"/>
        </w:rPr>
        <w:t>4</w:t>
      </w:r>
      <w:r w:rsidR="002C3F8A" w:rsidRPr="00E30A15">
        <w:rPr>
          <w:color w:val="000000"/>
          <w:sz w:val="28"/>
          <w:szCs w:val="22"/>
        </w:rPr>
        <w:t xml:space="preserve">. Phải có kết nối về </w:t>
      </w:r>
      <w:r w:rsidR="004C615D" w:rsidRPr="00E30A15">
        <w:rPr>
          <w:color w:val="000000"/>
          <w:sz w:val="28"/>
          <w:szCs w:val="22"/>
        </w:rPr>
        <w:t>chế biến, tiêu thụ</w:t>
      </w:r>
      <w:r w:rsidR="002C3F8A" w:rsidRPr="00E30A15">
        <w:rPr>
          <w:color w:val="000000"/>
          <w:sz w:val="28"/>
          <w:szCs w:val="22"/>
        </w:rPr>
        <w:t xml:space="preserve"> sản phẩm nông, lâm, thủy sản</w:t>
      </w:r>
      <w:r w:rsidR="004C615D" w:rsidRPr="00E30A15">
        <w:rPr>
          <w:color w:val="000000"/>
          <w:sz w:val="28"/>
          <w:szCs w:val="22"/>
        </w:rPr>
        <w:t xml:space="preserve"> đảm bảo yêu cầu về phát triển nông nghiệp, nông thôn theo Đề án tái cơ cấu ngành Nông nghiệp và  Phát triển nông thôn và Đề án chế biến, tiêu thụ</w:t>
      </w:r>
    </w:p>
    <w:p w:rsidR="004B4500" w:rsidRPr="00E30A15" w:rsidRDefault="004B4500" w:rsidP="004B4500">
      <w:pPr>
        <w:spacing w:before="120"/>
        <w:ind w:firstLine="720"/>
        <w:jc w:val="both"/>
        <w:rPr>
          <w:color w:val="000000"/>
          <w:sz w:val="28"/>
          <w:szCs w:val="22"/>
        </w:rPr>
      </w:pPr>
      <w:r w:rsidRPr="00E30A15">
        <w:rPr>
          <w:color w:val="000000"/>
          <w:sz w:val="28"/>
          <w:szCs w:val="22"/>
        </w:rPr>
        <w:t>5. Các Khu dân cư</w:t>
      </w:r>
      <w:r w:rsidR="00071D1F" w:rsidRPr="00E30A15">
        <w:rPr>
          <w:color w:val="000000"/>
          <w:sz w:val="28"/>
          <w:szCs w:val="22"/>
        </w:rPr>
        <w:t xml:space="preserve"> ở các xã</w:t>
      </w:r>
      <w:r w:rsidRPr="00E30A15">
        <w:rPr>
          <w:color w:val="000000"/>
          <w:sz w:val="28"/>
          <w:szCs w:val="22"/>
        </w:rPr>
        <w:t xml:space="preserve"> phải đảm bảo: ít nhất 70% đạt chuẩn Khu dân cư nông thôn mới kiểu mẫu, số còn lại đạt 70% trở lên</w:t>
      </w:r>
      <w:r w:rsidR="004C615D" w:rsidRPr="00E30A15">
        <w:rPr>
          <w:color w:val="000000"/>
          <w:sz w:val="28"/>
          <w:szCs w:val="22"/>
        </w:rPr>
        <w:t>.</w:t>
      </w:r>
    </w:p>
    <w:p w:rsidR="00506960" w:rsidRPr="00705E68" w:rsidRDefault="00506960" w:rsidP="004B4500">
      <w:pPr>
        <w:spacing w:before="360" w:line="380" w:lineRule="atLeast"/>
        <w:ind w:firstLine="720"/>
        <w:jc w:val="both"/>
        <w:rPr>
          <w:b/>
          <w:color w:val="000000"/>
          <w:sz w:val="28"/>
        </w:rPr>
      </w:pPr>
    </w:p>
    <w:p w:rsidR="00506960" w:rsidRDefault="00506960" w:rsidP="00506960"/>
    <w:p w:rsidR="00801F12" w:rsidRPr="009A27AD" w:rsidRDefault="00801F12" w:rsidP="00801F12"/>
    <w:sectPr w:rsidR="00801F12" w:rsidRPr="009A27AD" w:rsidSect="003A5610">
      <w:footerReference w:type="even" r:id="rId6"/>
      <w:footerReference w:type="default" r:id="rId7"/>
      <w:pgSz w:w="11907" w:h="16840" w:code="9"/>
      <w:pgMar w:top="1134" w:right="1134"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2140" w:rsidRDefault="00382140" w:rsidP="008E1A2A">
      <w:r>
        <w:separator/>
      </w:r>
    </w:p>
  </w:endnote>
  <w:endnote w:type="continuationSeparator" w:id="1">
    <w:p w:rsidR="00382140" w:rsidRDefault="00382140" w:rsidP="008E1A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CDB" w:rsidRDefault="00B927C0" w:rsidP="00CF5AFB">
    <w:pPr>
      <w:pStyle w:val="Footer"/>
      <w:framePr w:wrap="around" w:vAnchor="text" w:hAnchor="margin" w:xAlign="right" w:y="1"/>
      <w:rPr>
        <w:rStyle w:val="PageNumber"/>
      </w:rPr>
    </w:pPr>
    <w:r>
      <w:rPr>
        <w:rStyle w:val="PageNumber"/>
      </w:rPr>
      <w:fldChar w:fldCharType="begin"/>
    </w:r>
    <w:r w:rsidR="007129FD">
      <w:rPr>
        <w:rStyle w:val="PageNumber"/>
      </w:rPr>
      <w:instrText xml:space="preserve">PAGE  </w:instrText>
    </w:r>
    <w:r>
      <w:rPr>
        <w:rStyle w:val="PageNumber"/>
      </w:rPr>
      <w:fldChar w:fldCharType="end"/>
    </w:r>
  </w:p>
  <w:p w:rsidR="007C5CDB" w:rsidRDefault="00382140" w:rsidP="007C5CD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CDB" w:rsidRDefault="00B927C0" w:rsidP="00CF5AFB">
    <w:pPr>
      <w:pStyle w:val="Footer"/>
      <w:framePr w:wrap="around" w:vAnchor="text" w:hAnchor="margin" w:xAlign="right" w:y="1"/>
      <w:rPr>
        <w:rStyle w:val="PageNumber"/>
      </w:rPr>
    </w:pPr>
    <w:r>
      <w:rPr>
        <w:rStyle w:val="PageNumber"/>
      </w:rPr>
      <w:fldChar w:fldCharType="begin"/>
    </w:r>
    <w:r w:rsidR="007129FD">
      <w:rPr>
        <w:rStyle w:val="PageNumber"/>
      </w:rPr>
      <w:instrText xml:space="preserve">PAGE  </w:instrText>
    </w:r>
    <w:r>
      <w:rPr>
        <w:rStyle w:val="PageNumber"/>
      </w:rPr>
      <w:fldChar w:fldCharType="separate"/>
    </w:r>
    <w:r w:rsidR="005B5FF1">
      <w:rPr>
        <w:rStyle w:val="PageNumber"/>
        <w:noProof/>
      </w:rPr>
      <w:t>3</w:t>
    </w:r>
    <w:r>
      <w:rPr>
        <w:rStyle w:val="PageNumber"/>
      </w:rPr>
      <w:fldChar w:fldCharType="end"/>
    </w:r>
  </w:p>
  <w:p w:rsidR="007C5CDB" w:rsidRDefault="00382140" w:rsidP="007C5CD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2140" w:rsidRDefault="00382140" w:rsidP="008E1A2A">
      <w:r>
        <w:separator/>
      </w:r>
    </w:p>
  </w:footnote>
  <w:footnote w:type="continuationSeparator" w:id="1">
    <w:p w:rsidR="00382140" w:rsidRDefault="00382140" w:rsidP="008E1A2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oNotDisplayPageBoundaries/>
  <w:defaultTabStop w:val="720"/>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801F12"/>
    <w:rsid w:val="00023046"/>
    <w:rsid w:val="0002353F"/>
    <w:rsid w:val="000416A7"/>
    <w:rsid w:val="00071D1F"/>
    <w:rsid w:val="000B5541"/>
    <w:rsid w:val="000D087C"/>
    <w:rsid w:val="000E4199"/>
    <w:rsid w:val="001313D1"/>
    <w:rsid w:val="00157D7A"/>
    <w:rsid w:val="0016552E"/>
    <w:rsid w:val="0018686A"/>
    <w:rsid w:val="001A2039"/>
    <w:rsid w:val="001C0A38"/>
    <w:rsid w:val="002269ED"/>
    <w:rsid w:val="002579EC"/>
    <w:rsid w:val="0026700F"/>
    <w:rsid w:val="00282404"/>
    <w:rsid w:val="002C3F8A"/>
    <w:rsid w:val="00382140"/>
    <w:rsid w:val="00425A85"/>
    <w:rsid w:val="004523A9"/>
    <w:rsid w:val="00467BC2"/>
    <w:rsid w:val="0048782C"/>
    <w:rsid w:val="004B4500"/>
    <w:rsid w:val="004C615D"/>
    <w:rsid w:val="005019F5"/>
    <w:rsid w:val="00506960"/>
    <w:rsid w:val="00580054"/>
    <w:rsid w:val="005B5FF1"/>
    <w:rsid w:val="005D1F85"/>
    <w:rsid w:val="005F3FE3"/>
    <w:rsid w:val="0060719B"/>
    <w:rsid w:val="006375DF"/>
    <w:rsid w:val="0064276F"/>
    <w:rsid w:val="006A0808"/>
    <w:rsid w:val="006A6BE6"/>
    <w:rsid w:val="007129FD"/>
    <w:rsid w:val="00737A08"/>
    <w:rsid w:val="00801F12"/>
    <w:rsid w:val="00882194"/>
    <w:rsid w:val="008A1BA7"/>
    <w:rsid w:val="008C06F7"/>
    <w:rsid w:val="008C3B3E"/>
    <w:rsid w:val="008D2B95"/>
    <w:rsid w:val="008E1A2A"/>
    <w:rsid w:val="009160A0"/>
    <w:rsid w:val="00916FA2"/>
    <w:rsid w:val="00941728"/>
    <w:rsid w:val="0097405C"/>
    <w:rsid w:val="00974A06"/>
    <w:rsid w:val="009B3482"/>
    <w:rsid w:val="00A501E4"/>
    <w:rsid w:val="00A57A52"/>
    <w:rsid w:val="00AF2BF2"/>
    <w:rsid w:val="00B4646F"/>
    <w:rsid w:val="00B87BB8"/>
    <w:rsid w:val="00B927C0"/>
    <w:rsid w:val="00B952F3"/>
    <w:rsid w:val="00BA61BC"/>
    <w:rsid w:val="00BD530D"/>
    <w:rsid w:val="00BD7D2E"/>
    <w:rsid w:val="00D01649"/>
    <w:rsid w:val="00D04206"/>
    <w:rsid w:val="00D32F8B"/>
    <w:rsid w:val="00D91877"/>
    <w:rsid w:val="00DB74D2"/>
    <w:rsid w:val="00DF7EEC"/>
    <w:rsid w:val="00E03DD3"/>
    <w:rsid w:val="00E14E6B"/>
    <w:rsid w:val="00E30A15"/>
    <w:rsid w:val="00EC0040"/>
    <w:rsid w:val="00EF7BBB"/>
    <w:rsid w:val="00F91F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3" type="connector" idref="#AutoShape 2"/>
        <o:r id="V:Rule4"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F12"/>
    <w:pPr>
      <w:spacing w:after="0" w:line="240" w:lineRule="auto"/>
    </w:pPr>
    <w:rPr>
      <w:rFonts w:eastAsia="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01F12"/>
    <w:pPr>
      <w:tabs>
        <w:tab w:val="center" w:pos="4320"/>
        <w:tab w:val="right" w:pos="8640"/>
      </w:tabs>
    </w:pPr>
  </w:style>
  <w:style w:type="character" w:customStyle="1" w:styleId="FooterChar">
    <w:name w:val="Footer Char"/>
    <w:basedOn w:val="DefaultParagraphFont"/>
    <w:link w:val="Footer"/>
    <w:rsid w:val="00801F12"/>
    <w:rPr>
      <w:rFonts w:eastAsia="Times New Roman" w:cs="Times New Roman"/>
      <w:sz w:val="24"/>
      <w:szCs w:val="24"/>
    </w:rPr>
  </w:style>
  <w:style w:type="character" w:styleId="PageNumber">
    <w:name w:val="page number"/>
    <w:basedOn w:val="DefaultParagraphFont"/>
    <w:rsid w:val="00801F12"/>
  </w:style>
  <w:style w:type="paragraph" w:customStyle="1" w:styleId="quyetdinh">
    <w:name w:val="quyet dinh"/>
    <w:rsid w:val="00801F1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adjustRightInd w:val="0"/>
      <w:spacing w:before="567" w:after="567" w:line="397" w:lineRule="atLeast"/>
      <w:jc w:val="center"/>
    </w:pPr>
    <w:rPr>
      <w:rFonts w:ascii="VNI-Times" w:eastAsia="Times New Roman" w:hAnsi="VNI-Times" w:cs="VNI-Times"/>
      <w:b/>
      <w:bCs/>
      <w:szCs w:val="28"/>
    </w:rPr>
  </w:style>
  <w:style w:type="paragraph" w:styleId="ListParagraph">
    <w:name w:val="List Paragraph"/>
    <w:basedOn w:val="Normal"/>
    <w:uiPriority w:val="34"/>
    <w:qFormat/>
    <w:rsid w:val="002C3F8A"/>
    <w:pPr>
      <w:ind w:left="720"/>
      <w:contextualSpacing/>
    </w:pPr>
  </w:style>
</w:styles>
</file>

<file path=word/webSettings.xml><?xml version="1.0" encoding="utf-8"?>
<w:webSettings xmlns:r="http://schemas.openxmlformats.org/officeDocument/2006/relationships" xmlns:w="http://schemas.openxmlformats.org/wordprocessingml/2006/main">
  <w:divs>
    <w:div w:id="142202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600</TotalTime>
  <Pages>5</Pages>
  <Words>1135</Words>
  <Characters>6473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47</cp:revision>
  <cp:lastPrinted>2016-03-18T02:43:00Z</cp:lastPrinted>
  <dcterms:created xsi:type="dcterms:W3CDTF">2016-03-04T11:29:00Z</dcterms:created>
  <dcterms:modified xsi:type="dcterms:W3CDTF">2016-03-21T11:13:00Z</dcterms:modified>
</cp:coreProperties>
</file>