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2" w:type="dxa"/>
        <w:jc w:val="center"/>
        <w:tblLook w:val="01E0" w:firstRow="1" w:lastRow="1" w:firstColumn="1" w:lastColumn="1" w:noHBand="0" w:noVBand="0"/>
      </w:tblPr>
      <w:tblGrid>
        <w:gridCol w:w="4902"/>
        <w:gridCol w:w="5670"/>
      </w:tblGrid>
      <w:tr w:rsidR="00291AF2">
        <w:trPr>
          <w:trHeight w:val="1276"/>
          <w:jc w:val="center"/>
        </w:trPr>
        <w:tc>
          <w:tcPr>
            <w:tcW w:w="4902" w:type="dxa"/>
          </w:tcPr>
          <w:p w:rsidR="00291AF2" w:rsidRDefault="004E05BB">
            <w:pPr>
              <w:spacing w:after="0" w:line="240" w:lineRule="auto"/>
              <w:jc w:val="center"/>
              <w:rPr>
                <w:rFonts w:cs="Times New Roman"/>
                <w:sz w:val="26"/>
                <w:szCs w:val="26"/>
              </w:rPr>
            </w:pPr>
            <w:r>
              <w:rPr>
                <w:rFonts w:cs="Times New Roman"/>
                <w:sz w:val="26"/>
                <w:szCs w:val="26"/>
              </w:rPr>
              <w:t xml:space="preserve">UBND TỈNH HÀ TĨNH </w:t>
            </w:r>
          </w:p>
          <w:p w:rsidR="00291AF2" w:rsidRDefault="004E05BB">
            <w:pPr>
              <w:spacing w:after="0" w:line="240" w:lineRule="auto"/>
              <w:jc w:val="center"/>
              <w:rPr>
                <w:rFonts w:cs="Times New Roman"/>
                <w:b/>
                <w:sz w:val="26"/>
                <w:szCs w:val="26"/>
              </w:rPr>
            </w:pPr>
            <w:r>
              <w:rPr>
                <w:rFonts w:cs="Times New Roman"/>
                <w:b/>
                <w:sz w:val="26"/>
                <w:szCs w:val="26"/>
              </w:rPr>
              <w:t>BAN CHỈ ĐẠO CÁC CHƯƠNG TRÌNH MTQG VÀ XÂY DỰNG ĐÔ THỊ</w:t>
            </w:r>
          </w:p>
          <w:p w:rsidR="00291AF2" w:rsidRDefault="004E05BB">
            <w:pPr>
              <w:spacing w:after="0" w:line="240" w:lineRule="auto"/>
              <w:jc w:val="center"/>
              <w:rPr>
                <w:rFonts w:cs="Times New Roman"/>
                <w:b/>
                <w:sz w:val="26"/>
                <w:szCs w:val="26"/>
              </w:rPr>
            </w:pPr>
            <w:r>
              <w:rPr>
                <w:rFonts w:cs="Times New Roman"/>
                <w:b/>
                <w:sz w:val="26"/>
                <w:szCs w:val="26"/>
              </w:rPr>
              <w:t xml:space="preserve"> VĂN MINH TỈNH </w:t>
            </w:r>
            <w:r>
              <w:rPr>
                <w:rFonts w:cs="Times New Roman"/>
                <w:b/>
                <w:noProof/>
                <w:szCs w:val="28"/>
              </w:rPr>
              <mc:AlternateContent>
                <mc:Choice Requires="wps">
                  <w:drawing>
                    <wp:anchor distT="0" distB="0" distL="114300" distR="114300" simplePos="0" relativeHeight="251659264" behindDoc="0" locked="0" layoutInCell="1" allowOverlap="1">
                      <wp:simplePos x="0" y="0"/>
                      <wp:positionH relativeFrom="column">
                        <wp:posOffset>1017905</wp:posOffset>
                      </wp:positionH>
                      <wp:positionV relativeFrom="paragraph">
                        <wp:posOffset>212090</wp:posOffset>
                      </wp:positionV>
                      <wp:extent cx="90106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5pt,16.7pt" to="151.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R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"/>
                  </w:pict>
                </mc:Fallback>
              </mc:AlternateContent>
            </w:r>
          </w:p>
          <w:p w:rsidR="00291AF2" w:rsidRDefault="00291AF2">
            <w:pPr>
              <w:spacing w:after="0" w:line="240" w:lineRule="auto"/>
              <w:ind w:right="600"/>
              <w:jc w:val="right"/>
              <w:rPr>
                <w:rFonts w:cs="Times New Roman"/>
                <w:sz w:val="24"/>
                <w:szCs w:val="24"/>
              </w:rPr>
            </w:pPr>
          </w:p>
        </w:tc>
        <w:tc>
          <w:tcPr>
            <w:tcW w:w="5670" w:type="dxa"/>
          </w:tcPr>
          <w:p w:rsidR="00291AF2" w:rsidRDefault="004E05BB">
            <w:pPr>
              <w:spacing w:after="0" w:line="240" w:lineRule="auto"/>
              <w:jc w:val="center"/>
              <w:rPr>
                <w:rFonts w:cs="Times New Roman"/>
                <w:b/>
                <w:sz w:val="26"/>
              </w:rPr>
            </w:pPr>
            <w:r>
              <w:rPr>
                <w:rFonts w:cs="Times New Roman"/>
                <w:b/>
                <w:sz w:val="26"/>
              </w:rPr>
              <w:t xml:space="preserve">CỘNG HÒA XÃ HỘI CHỦ NGHĨA VIỆT NAM </w:t>
            </w:r>
          </w:p>
          <w:p w:rsidR="00291AF2" w:rsidRDefault="004E05BB">
            <w:pPr>
              <w:spacing w:after="0" w:line="240" w:lineRule="auto"/>
              <w:jc w:val="center"/>
              <w:rPr>
                <w:rFonts w:cs="Times New Roman"/>
                <w:b/>
                <w:sz w:val="26"/>
                <w:szCs w:val="28"/>
              </w:rPr>
            </w:pPr>
            <w:r>
              <w:rPr>
                <w:rFonts w:cs="Times New Roman"/>
                <w:b/>
                <w:sz w:val="26"/>
                <w:szCs w:val="28"/>
              </w:rPr>
              <w:t xml:space="preserve">Độc Lập - Tự do - Hạnh phúc </w:t>
            </w:r>
          </w:p>
          <w:p w:rsidR="00291AF2" w:rsidRDefault="004E05BB">
            <w:pPr>
              <w:spacing w:after="0" w:line="240" w:lineRule="auto"/>
              <w:rPr>
                <w:rFonts w:cs="Times New Roman"/>
                <w:i/>
              </w:rPr>
            </w:pP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699217</wp:posOffset>
                      </wp:positionH>
                      <wp:positionV relativeFrom="paragraph">
                        <wp:posOffset>36195</wp:posOffset>
                      </wp:positionV>
                      <wp:extent cx="2073243"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2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2.85pt" to="218.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"/>
                  </w:pict>
                </mc:Fallback>
              </mc:AlternateContent>
            </w:r>
            <w:r>
              <w:rPr>
                <w:rFonts w:cs="Times New Roman"/>
                <w:i/>
              </w:rPr>
              <w:t xml:space="preserve">                </w:t>
            </w:r>
          </w:p>
          <w:p w:rsidR="00291AF2" w:rsidRDefault="004E05BB" w:rsidP="00B25A2A">
            <w:pPr>
              <w:spacing w:after="0" w:line="240" w:lineRule="auto"/>
              <w:rPr>
                <w:rFonts w:cs="Times New Roman"/>
                <w:i/>
                <w:szCs w:val="28"/>
              </w:rPr>
            </w:pPr>
            <w:r>
              <w:rPr>
                <w:rFonts w:cs="Times New Roman"/>
                <w:i/>
                <w:szCs w:val="28"/>
              </w:rPr>
              <w:t xml:space="preserve">            Hà Tĩnh, ngày  </w:t>
            </w:r>
            <w:r w:rsidR="00B25A2A">
              <w:rPr>
                <w:rFonts w:cs="Times New Roman"/>
                <w:i/>
                <w:szCs w:val="28"/>
              </w:rPr>
              <w:t>14</w:t>
            </w:r>
            <w:r>
              <w:rPr>
                <w:rFonts w:cs="Times New Roman"/>
                <w:i/>
                <w:szCs w:val="28"/>
              </w:rPr>
              <w:t xml:space="preserve">  tháng  03  năm 2025</w:t>
            </w:r>
          </w:p>
        </w:tc>
      </w:tr>
    </w:tbl>
    <w:p w:rsidR="00291AF2" w:rsidRDefault="00291AF2">
      <w:pPr>
        <w:spacing w:after="0" w:line="240" w:lineRule="auto"/>
        <w:ind w:firstLine="709"/>
        <w:jc w:val="center"/>
        <w:rPr>
          <w:rFonts w:cs="Times New Roman"/>
          <w:b/>
          <w:szCs w:val="28"/>
        </w:rPr>
      </w:pPr>
    </w:p>
    <w:p w:rsidR="00291AF2" w:rsidRDefault="004E05BB">
      <w:pPr>
        <w:spacing w:after="0" w:line="240" w:lineRule="auto"/>
        <w:jc w:val="center"/>
        <w:rPr>
          <w:rFonts w:cs="Times New Roman"/>
          <w:b/>
          <w:szCs w:val="28"/>
        </w:rPr>
      </w:pPr>
      <w:r>
        <w:rPr>
          <w:rFonts w:cs="Times New Roman"/>
          <w:b/>
          <w:szCs w:val="28"/>
        </w:rPr>
        <w:t>BÁO CÁO</w:t>
      </w:r>
    </w:p>
    <w:p w:rsidR="00291AF2" w:rsidRDefault="004E05BB">
      <w:pPr>
        <w:spacing w:after="0" w:line="240" w:lineRule="auto"/>
        <w:jc w:val="center"/>
        <w:rPr>
          <w:rFonts w:cs="Times New Roman"/>
          <w:b/>
          <w:szCs w:val="28"/>
        </w:rPr>
      </w:pPr>
      <w:r>
        <w:rPr>
          <w:rFonts w:cs="Times New Roman"/>
          <w:b/>
          <w:szCs w:val="28"/>
        </w:rPr>
        <w:t xml:space="preserve">Tổng kết công tác xây dựng nông thôn mới năm 2024; </w:t>
      </w:r>
    </w:p>
    <w:p w:rsidR="00291AF2" w:rsidRDefault="004E05BB">
      <w:pPr>
        <w:spacing w:after="0" w:line="240" w:lineRule="auto"/>
        <w:jc w:val="center"/>
        <w:rPr>
          <w:rFonts w:cs="Times New Roman"/>
          <w:b/>
          <w:szCs w:val="28"/>
        </w:rPr>
      </w:pPr>
      <w:r>
        <w:rPr>
          <w:rFonts w:cs="Times New Roman"/>
          <w:b/>
          <w:szCs w:val="28"/>
        </w:rPr>
        <w:t>triển khai nhiệm vụ năm 2025</w:t>
      </w:r>
    </w:p>
    <w:p w:rsidR="00291AF2" w:rsidRDefault="004E05BB">
      <w:pPr>
        <w:spacing w:after="0" w:line="240" w:lineRule="auto"/>
        <w:ind w:firstLine="709"/>
        <w:jc w:val="center"/>
        <w:rPr>
          <w:rFonts w:cs="Times New Roman"/>
          <w:b/>
          <w:szCs w:val="28"/>
        </w:rPr>
      </w:pPr>
      <w:r>
        <w:rPr>
          <w:rFonts w:cs="Times New Roman"/>
          <w:b/>
          <w:noProof/>
          <w:szCs w:val="28"/>
        </w:rPr>
        <mc:AlternateContent>
          <mc:Choice Requires="wps">
            <w:drawing>
              <wp:anchor distT="0" distB="0" distL="114300" distR="114300" simplePos="0" relativeHeight="251661312" behindDoc="0" locked="0" layoutInCell="1" allowOverlap="1">
                <wp:simplePos x="0" y="0"/>
                <wp:positionH relativeFrom="column">
                  <wp:posOffset>2110740</wp:posOffset>
                </wp:positionH>
                <wp:positionV relativeFrom="paragraph">
                  <wp:posOffset>24320</wp:posOffset>
                </wp:positionV>
                <wp:extent cx="1655438" cy="3400"/>
                <wp:effectExtent l="0" t="0" r="21590" b="34925"/>
                <wp:wrapNone/>
                <wp:docPr id="4" name="Straight Connector 4"/>
                <wp:cNvGraphicFramePr/>
                <a:graphic xmlns:a="http://schemas.openxmlformats.org/drawingml/2006/main">
                  <a:graphicData uri="http://schemas.microsoft.com/office/word/2010/wordprocessingShape">
                    <wps:wsp>
                      <wps:cNvCnPr/>
                      <wps:spPr>
                        <a:xfrm flipV="1">
                          <a:off x="0" y="0"/>
                          <a:ext cx="1655438" cy="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66.2pt,1.9pt" to="296.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" strokecolor="#4579b8 [3044]"/>
            </w:pict>
          </mc:Fallback>
        </mc:AlternateContent>
      </w:r>
    </w:p>
    <w:p w:rsidR="00291AF2" w:rsidRDefault="004E05BB">
      <w:pPr>
        <w:spacing w:after="0" w:line="240" w:lineRule="auto"/>
        <w:ind w:firstLine="720"/>
        <w:jc w:val="both"/>
        <w:rPr>
          <w:rFonts w:cs="Times New Roman"/>
          <w:spacing w:val="-4"/>
          <w:szCs w:val="28"/>
          <w:shd w:val="clear" w:color="auto" w:fill="FFFFFF"/>
          <w:lang w:val="nl-NL"/>
        </w:rPr>
      </w:pPr>
      <w:r>
        <w:rPr>
          <w:rFonts w:cs="Times New Roman"/>
          <w:spacing w:val="-4"/>
          <w:szCs w:val="28"/>
          <w:lang w:val="nl-NL"/>
        </w:rPr>
        <w:t>Năm 2024, thực hiện Chương trình MTQG xây dựng nông thôn mới trong điều kiện có nhiều khó khăn, thách thức:</w:t>
      </w:r>
      <w:r>
        <w:rPr>
          <w:lang w:val="nl-NL"/>
        </w:rPr>
        <w:t xml:space="preserve"> nền kinh tế trong nước và của tỉnh duy trì xu hướng phục hồi ngày càng rõ nét hơn n</w:t>
      </w:r>
      <w:bookmarkStart w:id="0" w:name="_GoBack"/>
      <w:bookmarkEnd w:id="0"/>
      <w:r>
        <w:rPr>
          <w:lang w:val="nl-NL"/>
        </w:rPr>
        <w:t xml:space="preserve">hưng vẫn còn nhiều khó khăn, thách thức; một số địa phương nằm trong diện sắp xếp đơn vị hành chính; thu ngân sách nhiều địa phương gặp khó khăn...Trong bối cảnh đó, </w:t>
      </w:r>
      <w:r>
        <w:rPr>
          <w:rFonts w:cs="Times New Roman"/>
          <w:spacing w:val="-4"/>
          <w:szCs w:val="28"/>
          <w:lang w:val="nl-NL"/>
        </w:rPr>
        <w:t xml:space="preserve">Tỉnh ủy, Ban Chỉ đạo tỉnh, Ủy ban nhân dân tỉnh vẫn tiếp tục dành sự quan tâm cao trong lãnh đạo, chỉ đạo và tổ chức thực hiện Chương trình nông thôn mới với </w:t>
      </w:r>
      <w:r>
        <w:rPr>
          <w:rFonts w:cs="Times New Roman"/>
          <w:iCs/>
          <w:noProof/>
          <w:spacing w:val="-4"/>
          <w:szCs w:val="28"/>
          <w:lang w:val="nl-NL"/>
        </w:rPr>
        <w:t>nhiều đổi mới, linh hoạt, đi vào chiều sâu có trọng tâm, trọng điểm, quan tâm cao tính hiệu quả, bền vững, người dân và cộng đồng dân cư chủ động vào cuộc với tinh thần, trách nhiệm cao…</w:t>
      </w:r>
      <w:r>
        <w:rPr>
          <w:rFonts w:cs="Times New Roman"/>
          <w:spacing w:val="-4"/>
          <w:szCs w:val="28"/>
          <w:lang w:val="nl-NL"/>
        </w:rPr>
        <w:t xml:space="preserve">nên </w:t>
      </w:r>
      <w:r>
        <w:rPr>
          <w:spacing w:val="-4"/>
          <w:szCs w:val="28"/>
          <w:lang w:val="nl-NL"/>
        </w:rPr>
        <w:t xml:space="preserve">Chương trình Mục tiêu quốc gia xây dựng nông thôn mới (NTM) </w:t>
      </w:r>
      <w:r>
        <w:rPr>
          <w:rFonts w:cs="Times New Roman"/>
          <w:spacing w:val="-4"/>
          <w:szCs w:val="28"/>
          <w:lang w:val="nl-NL"/>
        </w:rPr>
        <w:t xml:space="preserve">tiếp tục được duy trì và đạt kết quả khá tốt. </w:t>
      </w:r>
      <w:r>
        <w:rPr>
          <w:rFonts w:cs="Times New Roman"/>
          <w:spacing w:val="-4"/>
          <w:szCs w:val="28"/>
          <w:shd w:val="clear" w:color="auto" w:fill="FFFFFF"/>
          <w:lang w:val="nl-NL"/>
        </w:rPr>
        <w:t>Năm 2024 tỉnh tập trung cao chỉ đạo 5 đơn vị cấp huyện còn lại phấn đấu đạt chuẩn/hoàn thành nhiệm vụ xây dựng NTM, bằng 38,5% kết quả của 14 năm thực hiện Chương trình nông thôn mới và đến nay cả 5 đơn vị cấp huyện cơ bản đạt chuẩn các yêu cầu (</w:t>
      </w:r>
      <w:r>
        <w:rPr>
          <w:rFonts w:cs="Times New Roman"/>
          <w:i/>
          <w:spacing w:val="-4"/>
          <w:szCs w:val="28"/>
          <w:shd w:val="clear" w:color="auto" w:fill="FFFFFF"/>
          <w:lang w:val="nl-NL"/>
        </w:rPr>
        <w:t xml:space="preserve">2 huyện Lộc Hà và huyện Kỳ Anh được Thủ tướng Chính phủ công nhận đạt chuẩn NTM, thị xã Kỳ Anh đã trình Trung ương thẩm định, xét công nhận thị xã hoàn thành nhiệm vụ xây dựng NTM; huyện Hương Khê, thị xã Hồng lĩnh </w:t>
      </w:r>
      <w:r>
        <w:rPr>
          <w:i/>
          <w:spacing w:val="-4"/>
          <w:lang w:val="nl-NL"/>
        </w:rPr>
        <w:t xml:space="preserve">đang hoàn thiện hồ sơ trình Trung ương thẩm định, xét công nhận đạt chuẩn NTM/hoàn thành nhiệm vụ xây dựng NTM năm 2024); </w:t>
      </w:r>
      <w:r>
        <w:rPr>
          <w:spacing w:val="-4"/>
          <w:lang w:val="nl-NL"/>
        </w:rPr>
        <w:t>02</w:t>
      </w:r>
      <w:r>
        <w:rPr>
          <w:i/>
          <w:spacing w:val="-4"/>
          <w:lang w:val="nl-NL"/>
        </w:rPr>
        <w:t xml:space="preserve"> </w:t>
      </w:r>
      <w:r>
        <w:rPr>
          <w:spacing w:val="-4"/>
          <w:lang w:val="nl-NL"/>
        </w:rPr>
        <w:t xml:space="preserve">huyện Đức Thọ và huyện Nghi Xuân </w:t>
      </w:r>
      <w:r>
        <w:rPr>
          <w:lang w:val="nl-NL"/>
        </w:rPr>
        <w:t xml:space="preserve">đã trình UBND tỉnh thẩm tra, xét, công nhận huyện đạt chuẩn NTM nâng cao, các sở ngành đã đánh giá đạt các yêu cầu, UBND tỉnh đã công bố </w:t>
      </w:r>
      <w:r>
        <w:rPr>
          <w:spacing w:val="-4"/>
          <w:szCs w:val="28"/>
          <w:lang w:val="nl-NL"/>
        </w:rPr>
        <w:t>đã c</w:t>
      </w:r>
      <w:r>
        <w:rPr>
          <w:rFonts w:eastAsia="Times New Roman" w:cs="Times New Roman"/>
          <w:color w:val="000000"/>
          <w:szCs w:val="28"/>
          <w:lang w:val="vi-VN" w:eastAsia="zh-CN"/>
        </w:rPr>
        <w:t>ông bố đủ điều kiện đề nghị xét, công nhận đạt chuẩn NTM nâng cao năm 2024</w:t>
      </w:r>
      <w:r>
        <w:rPr>
          <w:lang w:val="nl-NL"/>
        </w:rPr>
        <w:t>;</w:t>
      </w:r>
      <w:r>
        <w:rPr>
          <w:rFonts w:cs="Times New Roman"/>
          <w:spacing w:val="-4"/>
          <w:szCs w:val="28"/>
          <w:lang w:val="nl-NL"/>
        </w:rPr>
        <w:t xml:space="preserve"> có thêm</w:t>
      </w:r>
      <w:r>
        <w:rPr>
          <w:rFonts w:cs="Times New Roman"/>
          <w:spacing w:val="-4"/>
          <w:szCs w:val="28"/>
          <w:shd w:val="clear" w:color="auto" w:fill="FFFFFF"/>
          <w:lang w:val="nl-NL"/>
        </w:rPr>
        <w:t xml:space="preserve"> 15 xã đạt chuẩn NTM nâng cao, 4 xã đạt chuẩn NTM kiểu mẫu, 100 thôn đạt chuẩn khu dân cư kiểu mẫuLũy kế đến nay, toàn tỉnh có 169/169 xã đạt chuẩn NTM (đạt 100%), 69/169 xã đạt chuẩn NTM nâng cao (đạt 40,8%), 18/169 xã đạt chuẩn NTM kiểu mẫu (đạt 10,7%), 1.205/1.512 thôn đạt chuẩn Khu dân cư NTM kiểu mẫu (đạt 79,9%); 9/12 đơn vị cấp huyện đạt chuẩn/hoàn thành nhiệm vụ xây dựng NTM.</w:t>
      </w:r>
    </w:p>
    <w:p w:rsidR="00291AF2" w:rsidRDefault="004E05BB">
      <w:pPr>
        <w:shd w:val="clear" w:color="auto" w:fill="FFFFFF"/>
        <w:spacing w:after="0" w:line="240" w:lineRule="auto"/>
        <w:ind w:firstLine="720"/>
        <w:jc w:val="center"/>
        <w:rPr>
          <w:rFonts w:cs="Times New Roman"/>
          <w:szCs w:val="28"/>
          <w:lang w:val="sq-AL"/>
        </w:rPr>
      </w:pPr>
      <w:r>
        <w:rPr>
          <w:rFonts w:cs="Times New Roman"/>
          <w:b/>
          <w:szCs w:val="28"/>
          <w:lang w:val="sq-AL"/>
        </w:rPr>
        <w:t>Phần thứ nhất</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jc w:val="center"/>
        <w:rPr>
          <w:rFonts w:cs="Times New Roman"/>
          <w:b/>
          <w:szCs w:val="28"/>
          <w:lang w:val="sq-AL"/>
        </w:rPr>
      </w:pPr>
      <w:r>
        <w:rPr>
          <w:rFonts w:cs="Times New Roman"/>
          <w:b/>
          <w:szCs w:val="28"/>
          <w:lang w:val="sq-AL"/>
        </w:rPr>
        <w:t>KẾT QUẢ THỰC HIỆN NĂM 2024</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rFonts w:cs="Times New Roman"/>
          <w:b/>
          <w:szCs w:val="28"/>
          <w:lang w:val="nl-NL"/>
        </w:rPr>
      </w:pPr>
      <w:r>
        <w:rPr>
          <w:rFonts w:cs="Times New Roman"/>
          <w:b/>
          <w:szCs w:val="28"/>
          <w:lang w:val="nl-NL"/>
        </w:rPr>
        <w:t>I. Công tác lãnh đạo, chỉ đạo</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Pr>
          <w:rFonts w:cs="Times New Roman"/>
          <w:b/>
          <w:szCs w:val="28"/>
          <w:lang w:val="nl-NL"/>
        </w:rPr>
        <w:t>1. Cấp tỉnh:</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Pr>
          <w:rFonts w:cs="Times New Roman"/>
          <w:b/>
          <w:i/>
          <w:szCs w:val="28"/>
          <w:lang w:val="nl-NL"/>
        </w:rPr>
        <w:t xml:space="preserve">1.1 UBND tỉnh, Ban Chỉ đạo tỉnh: </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szCs w:val="28"/>
          <w:lang w:val="nl-NL"/>
        </w:rPr>
      </w:pPr>
      <w:r>
        <w:rPr>
          <w:rFonts w:cs="Times New Roman"/>
          <w:i/>
          <w:szCs w:val="28"/>
          <w:lang w:val="nl-NL"/>
        </w:rPr>
        <w:tab/>
        <w:t xml:space="preserve">- Về ban hành văn bản chỉ đạo, hướng dẫn thực hiện: </w:t>
      </w:r>
      <w:r>
        <w:rPr>
          <w:rFonts w:cs="Times New Roman"/>
          <w:szCs w:val="28"/>
          <w:lang w:val="nl-NL"/>
        </w:rPr>
        <w:t>Căn cứ các quy định của Trung ương và tình hình thực tế tại địa phương, năm 2024 Ủy ban nhân dân tỉnh, Ban Chỉ đạo tỉnh đã ban hành đầy đủ các văn bản về chỉ đạo, quản lý và tổ chức thực hiện Chương trình, cụ thể:</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szCs w:val="28"/>
          <w:lang w:val="nl-NL"/>
        </w:rPr>
      </w:pPr>
      <w:r>
        <w:rPr>
          <w:rFonts w:cs="Times New Roman"/>
          <w:szCs w:val="28"/>
          <w:lang w:val="nl-NL"/>
        </w:rPr>
        <w:lastRenderedPageBreak/>
        <w:tab/>
      </w:r>
      <w:r>
        <w:rPr>
          <w:rFonts w:cs="Times New Roman"/>
          <w:i/>
          <w:szCs w:val="28"/>
          <w:lang w:val="nl-NL"/>
        </w:rPr>
        <w:t>+ Về ban hành các Quyết định</w:t>
      </w:r>
      <w:r>
        <w:rPr>
          <w:rFonts w:cs="Times New Roman"/>
          <w:szCs w:val="28"/>
          <w:lang w:val="nl-NL"/>
        </w:rPr>
        <w:t>: ban hành các Quyết định về phân bổ vốn, điều chuyển kế hoạch vốn NTM năm 2023, năm 2024</w:t>
      </w:r>
      <w:r>
        <w:rPr>
          <w:rStyle w:val="FootnoteReference"/>
          <w:rFonts w:cs="Times New Roman"/>
          <w:szCs w:val="28"/>
          <w:lang w:val="nl-NL"/>
        </w:rPr>
        <w:footnoteReference w:id="1"/>
      </w:r>
      <w:r>
        <w:rPr>
          <w:rFonts w:cs="Times New Roman"/>
          <w:szCs w:val="28"/>
          <w:lang w:val="nl-NL"/>
        </w:rPr>
        <w:t xml:space="preserve">; </w:t>
      </w:r>
      <w:r>
        <w:rPr>
          <w:spacing w:val="-4"/>
          <w:szCs w:val="28"/>
          <w:lang w:val="nl-NL"/>
        </w:rPr>
        <w:t>cấp, điều chỉnh kinh phí thực hiện cơ chế, chính sách theo Nghị quyết số 44/NQ-HĐND ngày 16/12/2021, Nghị quyết số 51/NQ-HĐND ngày 16/12/2021 của HĐND tỉnh cho các địa phương thực hiện</w:t>
      </w:r>
      <w:r>
        <w:rPr>
          <w:rStyle w:val="FootnoteReference"/>
          <w:spacing w:val="-4"/>
          <w:szCs w:val="28"/>
          <w:lang w:val="nl-NL"/>
        </w:rPr>
        <w:footnoteReference w:id="2"/>
      </w:r>
      <w:r>
        <w:rPr>
          <w:spacing w:val="-4"/>
          <w:szCs w:val="28"/>
          <w:lang w:val="nl-NL"/>
        </w:rPr>
        <w:t>;</w:t>
      </w:r>
      <w:r>
        <w:rPr>
          <w:rFonts w:cs="Times New Roman"/>
          <w:szCs w:val="28"/>
          <w:lang w:val="nl-NL"/>
        </w:rPr>
        <w:t xml:space="preserve"> sửa đổi một số tiêu chí, chỉ tiêu của Bộ tiêu chí ban hành kèm theo Quyết định số 36/2022/QĐ-UBND và Quyết định số 37/2022/QĐ-UBND ngày 09/12/2022 của Ủy ban nhân dân tỉnh</w:t>
      </w:r>
      <w:r>
        <w:rPr>
          <w:rStyle w:val="FootnoteReference"/>
          <w:rFonts w:cs="Times New Roman"/>
          <w:szCs w:val="28"/>
          <w:lang w:val="nl-NL"/>
        </w:rPr>
        <w:footnoteReference w:id="3"/>
      </w:r>
      <w:r>
        <w:rPr>
          <w:rFonts w:cs="Times New Roman"/>
          <w:szCs w:val="28"/>
          <w:lang w:val="nl-NL"/>
        </w:rPr>
        <w:t>.</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szCs w:val="28"/>
          <w:lang w:val="nl-NL"/>
        </w:rPr>
      </w:pPr>
      <w:r>
        <w:rPr>
          <w:rFonts w:cs="Times New Roman"/>
          <w:szCs w:val="28"/>
          <w:lang w:val="nl-NL"/>
        </w:rPr>
        <w:tab/>
      </w:r>
      <w:r>
        <w:rPr>
          <w:rFonts w:cs="Times New Roman"/>
          <w:i/>
          <w:szCs w:val="28"/>
          <w:lang w:val="nl-NL"/>
        </w:rPr>
        <w:t xml:space="preserve">+ </w:t>
      </w:r>
      <w:r>
        <w:rPr>
          <w:rFonts w:cs="Times New Roman"/>
          <w:bCs/>
          <w:i/>
          <w:iCs/>
          <w:szCs w:val="28"/>
          <w:lang w:val="nl-NL"/>
        </w:rPr>
        <w:t>Về ban hành các kế hoạch</w:t>
      </w:r>
      <w:r>
        <w:rPr>
          <w:rFonts w:cs="Times New Roman"/>
          <w:bCs/>
          <w:iCs/>
          <w:szCs w:val="28"/>
          <w:lang w:val="nl-NL"/>
        </w:rPr>
        <w:t xml:space="preserve">: ban hành 02 Kế hoạch: </w:t>
      </w:r>
      <w:r>
        <w:rPr>
          <w:rFonts w:cs="Times New Roman"/>
          <w:bCs/>
          <w:spacing w:val="-4"/>
          <w:szCs w:val="28"/>
          <w:lang w:val="nl-NL"/>
        </w:rPr>
        <w:t>Kế hoạch thực hiện các chương trình mục tiêu quốc gia năm 2024 (</w:t>
      </w:r>
      <w:r>
        <w:rPr>
          <w:rFonts w:cs="Times New Roman"/>
          <w:bCs/>
          <w:i/>
          <w:spacing w:val="-4"/>
          <w:szCs w:val="28"/>
          <w:lang w:val="nl-NL"/>
        </w:rPr>
        <w:t>số 211/KH-UBND ngày 23/5/2024</w:t>
      </w:r>
      <w:r>
        <w:rPr>
          <w:rFonts w:cs="Times New Roman"/>
          <w:bCs/>
          <w:spacing w:val="-4"/>
          <w:szCs w:val="28"/>
          <w:lang w:val="nl-NL"/>
        </w:rPr>
        <w:t xml:space="preserve">); </w:t>
      </w:r>
      <w:r>
        <w:rPr>
          <w:rFonts w:cs="Times New Roman"/>
          <w:szCs w:val="28"/>
          <w:lang w:val="nl-NL"/>
        </w:rPr>
        <w:t>Kế hoạch làm đường giao thông, rãnh thoát nước, kênh mương nội đồng theo cơ chế hỗ trợ xi măng; hỗ trợ phục hồi, nâng cấp mặt đường bê tông xi măng năm 2024 trên địa bàn tỉnh (</w:t>
      </w:r>
      <w:r>
        <w:rPr>
          <w:rFonts w:cs="Times New Roman"/>
          <w:i/>
          <w:szCs w:val="28"/>
          <w:lang w:val="nl-NL"/>
        </w:rPr>
        <w:t>số 11/QĐ-UBND ngày 1/3/2024</w:t>
      </w:r>
      <w:r>
        <w:rPr>
          <w:rFonts w:cs="Times New Roman"/>
          <w:szCs w:val="28"/>
          <w:lang w:val="nl-NL"/>
        </w:rPr>
        <w:t>).</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Pr>
          <w:rFonts w:cs="Times New Roman"/>
          <w:bCs/>
          <w:i/>
          <w:spacing w:val="-4"/>
          <w:szCs w:val="28"/>
          <w:lang w:val="nl-NL"/>
        </w:rPr>
        <w:t>+ Về ban hành các Văn bản triển khai thực hiện</w:t>
      </w:r>
      <w:r>
        <w:rPr>
          <w:rFonts w:cs="Times New Roman"/>
          <w:bCs/>
          <w:spacing w:val="-4"/>
          <w:szCs w:val="28"/>
          <w:lang w:val="nl-NL"/>
        </w:rPr>
        <w:t>: ban hành nhiều văn bản c</w:t>
      </w:r>
      <w:r>
        <w:rPr>
          <w:spacing w:val="-4"/>
          <w:lang w:val="nl-NL"/>
        </w:rPr>
        <w:t>hỉ đạo đẩy nhanh tiến độ giải ngân vốn Chương trình NTM năm 2024</w:t>
      </w:r>
      <w:r>
        <w:rPr>
          <w:rStyle w:val="FootnoteReference"/>
          <w:spacing w:val="-4"/>
          <w:lang w:val="nl-NL"/>
        </w:rPr>
        <w:footnoteReference w:id="4"/>
      </w:r>
      <w:r>
        <w:rPr>
          <w:spacing w:val="-4"/>
          <w:lang w:val="nl-NL"/>
        </w:rPr>
        <w:t>, triển khai thực hiện Nghị quyết số 111/2024/QH15 của Quốc hội về một số cơ chế, chính sách đặc thù thực hiện các chương trình MTQG (</w:t>
      </w:r>
      <w:r>
        <w:rPr>
          <w:i/>
          <w:spacing w:val="-4"/>
          <w:lang w:val="nl-NL"/>
        </w:rPr>
        <w:t>Văn bản số 1525/UBND-NL</w:t>
      </w:r>
      <w:r>
        <w:rPr>
          <w:i/>
          <w:spacing w:val="-4"/>
          <w:vertAlign w:val="subscript"/>
          <w:lang w:val="nl-NL"/>
        </w:rPr>
        <w:t>5</w:t>
      </w:r>
      <w:r>
        <w:rPr>
          <w:i/>
          <w:spacing w:val="-4"/>
          <w:lang w:val="nl-NL"/>
        </w:rPr>
        <w:t xml:space="preserve"> ngày 22/3/2024 của UBND tỉnh), </w:t>
      </w:r>
      <w:r>
        <w:rPr>
          <w:rFonts w:cs="Times New Roman"/>
          <w:spacing w:val="3"/>
          <w:szCs w:val="28"/>
          <w:shd w:val="clear" w:color="auto" w:fill="FFFFFF"/>
          <w:lang w:val="nl-NL"/>
        </w:rPr>
        <w:t>chấn chỉnh, tăng cường quản lý đầu tư công và xử lý nợ đọng xây dựng cơ bản (</w:t>
      </w:r>
      <w:r>
        <w:rPr>
          <w:rFonts w:cs="Times New Roman"/>
          <w:i/>
          <w:spacing w:val="3"/>
          <w:szCs w:val="28"/>
          <w:shd w:val="clear" w:color="auto" w:fill="FFFFFF"/>
          <w:lang w:val="nl-NL"/>
        </w:rPr>
        <w:t>Văn bản số 1467/UBND-TH6 ngày 16/3/2024</w:t>
      </w:r>
      <w:r>
        <w:rPr>
          <w:rFonts w:cs="Times New Roman"/>
          <w:spacing w:val="-4"/>
          <w:szCs w:val="28"/>
          <w:lang w:val="nl-NL"/>
        </w:rPr>
        <w:t>), chỉ đạo thực hiện các Chương trình chuyên đề trong xây dựng NTM (</w:t>
      </w:r>
      <w:r>
        <w:rPr>
          <w:rFonts w:cs="Times New Roman"/>
          <w:i/>
          <w:spacing w:val="-4"/>
          <w:szCs w:val="28"/>
          <w:lang w:val="nl-NL"/>
        </w:rPr>
        <w:t xml:space="preserve">Văn bản số </w:t>
      </w:r>
      <w:r>
        <w:rPr>
          <w:rFonts w:eastAsia="Times New Roman" w:cs="Times New Roman"/>
          <w:i/>
          <w:szCs w:val="28"/>
          <w:lang w:val="nl-NL" w:eastAsia="zh-CN"/>
        </w:rPr>
        <w:t>7970/UBND-NL4 ngày 25/12/2024</w:t>
      </w:r>
      <w:r>
        <w:rPr>
          <w:rFonts w:ascii="Arial" w:eastAsia="Times New Roman" w:hAnsi="Arial" w:cs="Arial"/>
          <w:sz w:val="20"/>
          <w:szCs w:val="20"/>
          <w:lang w:val="nl-NL" w:eastAsia="zh-CN"/>
        </w:rPr>
        <w:t xml:space="preserve">); </w:t>
      </w:r>
      <w:r>
        <w:rPr>
          <w:rFonts w:cs="Times New Roman"/>
          <w:szCs w:val="28"/>
          <w:lang w:val="nl-NL"/>
        </w:rPr>
        <w:t>c</w:t>
      </w:r>
      <w:r>
        <w:rPr>
          <w:lang w:val="nl-NL"/>
        </w:rPr>
        <w:t>hỉ đạo thực hiện Chương trình OCOP</w:t>
      </w:r>
      <w:r>
        <w:rPr>
          <w:rStyle w:val="FootnoteReference"/>
          <w:lang w:val="nl-NL"/>
        </w:rPr>
        <w:footnoteReference w:id="5"/>
      </w:r>
      <w:r>
        <w:rPr>
          <w:lang w:val="nl-NL"/>
        </w:rPr>
        <w:t xml:space="preserve">; </w:t>
      </w:r>
      <w:r>
        <w:rPr>
          <w:rFonts w:cs="Times New Roman"/>
          <w:spacing w:val="-4"/>
          <w:szCs w:val="28"/>
          <w:lang w:val="nl-NL"/>
        </w:rPr>
        <w:t xml:space="preserve">chỉ đạo tập trung </w:t>
      </w:r>
      <w:r>
        <w:rPr>
          <w:rFonts w:cs="Times New Roman"/>
          <w:spacing w:val="-4"/>
          <w:szCs w:val="28"/>
          <w:lang w:val="nl-NL"/>
        </w:rPr>
        <w:lastRenderedPageBreak/>
        <w:t>đẩy nhanh tiến độ, nâng cao chất lượng và hoàn thành nhiệm vụ xây dựng nông thôn mới giai đoạn 2021-2025 (</w:t>
      </w:r>
      <w:r>
        <w:rPr>
          <w:rFonts w:cs="Times New Roman"/>
          <w:i/>
          <w:spacing w:val="-4"/>
          <w:szCs w:val="28"/>
          <w:lang w:val="nl-NL"/>
        </w:rPr>
        <w:t>Văn bản số 5830/</w:t>
      </w:r>
      <w:r>
        <w:rPr>
          <w:rFonts w:eastAsia="Times New Roman" w:cs="Times New Roman"/>
          <w:i/>
          <w:szCs w:val="28"/>
          <w:lang w:val="nl-NL" w:eastAsia="zh-CN"/>
        </w:rPr>
        <w:t>UBND-NL4 ngày 01/10/2024</w:t>
      </w:r>
      <w:r>
        <w:rPr>
          <w:rFonts w:cs="Times New Roman"/>
          <w:spacing w:val="-4"/>
          <w:szCs w:val="28"/>
          <w:lang w:val="nl-NL"/>
        </w:rPr>
        <w:t>); chỉ đạo tập trung đẩy nhanh tiến độ, phấn đấu hoàn thành mục tiêu xây dựng nông thôn mới năm 2024 (</w:t>
      </w:r>
      <w:r>
        <w:rPr>
          <w:rFonts w:cs="Times New Roman"/>
          <w:i/>
          <w:spacing w:val="-4"/>
          <w:szCs w:val="28"/>
          <w:lang w:val="nl-NL"/>
        </w:rPr>
        <w:t>Văn bản số 6748/</w:t>
      </w:r>
      <w:r>
        <w:rPr>
          <w:rFonts w:eastAsia="Times New Roman" w:cs="Times New Roman"/>
          <w:i/>
          <w:szCs w:val="28"/>
          <w:lang w:val="nl-NL" w:eastAsia="zh-CN"/>
        </w:rPr>
        <w:t>UBND-NL5 ngày 08/11/2024</w:t>
      </w:r>
      <w:r>
        <w:rPr>
          <w:rFonts w:cs="Times New Roman"/>
          <w:spacing w:val="-4"/>
          <w:szCs w:val="28"/>
          <w:lang w:val="nl-NL"/>
        </w:rPr>
        <w:t xml:space="preserve">); chỉ đạo đẩy nhanh tiến độ thực hiện  các Chương trình chuyên đề thuộc Chương trình MTQG xây dựng NTM giai đoạn 2021-2025 </w:t>
      </w:r>
      <w:r>
        <w:rPr>
          <w:rFonts w:cs="Times New Roman"/>
          <w:i/>
          <w:spacing w:val="-4"/>
          <w:szCs w:val="28"/>
          <w:lang w:val="nl-NL"/>
        </w:rPr>
        <w:t>(Văn bản số 6857/</w:t>
      </w:r>
      <w:r>
        <w:rPr>
          <w:rFonts w:eastAsia="Times New Roman" w:cs="Times New Roman"/>
          <w:i/>
          <w:szCs w:val="28"/>
          <w:lang w:val="nl-NL" w:eastAsia="zh-CN"/>
        </w:rPr>
        <w:t>UBND-NL4 ngày 12/11/2024, số</w:t>
      </w:r>
      <w:r>
        <w:rPr>
          <w:rFonts w:cs="Times New Roman"/>
          <w:i/>
          <w:spacing w:val="-4"/>
          <w:szCs w:val="28"/>
          <w:lang w:val="nl-NL"/>
        </w:rPr>
        <w:t xml:space="preserve"> </w:t>
      </w:r>
      <w:r>
        <w:rPr>
          <w:rFonts w:eastAsia="Times New Roman" w:cs="Times New Roman"/>
          <w:i/>
          <w:szCs w:val="28"/>
          <w:lang w:val="nl-NL" w:eastAsia="zh-CN"/>
        </w:rPr>
        <w:t>7332/UBND-NL5 ngày 02/12/2024</w:t>
      </w:r>
      <w:r>
        <w:rPr>
          <w:rFonts w:cs="Times New Roman"/>
          <w:i/>
          <w:spacing w:val="-4"/>
          <w:szCs w:val="28"/>
          <w:lang w:val="nl-NL"/>
        </w:rPr>
        <w:t>),</w:t>
      </w:r>
      <w:r>
        <w:rPr>
          <w:rFonts w:cs="Times New Roman"/>
          <w:spacing w:val="-4"/>
          <w:szCs w:val="28"/>
          <w:lang w:val="nl-NL"/>
        </w:rPr>
        <w:t xml:space="preserve"> chỉ đạo thực hiện các Chương trình chuyên đề trong xây dựng NTM (</w:t>
      </w:r>
      <w:r>
        <w:rPr>
          <w:rFonts w:cs="Times New Roman"/>
          <w:i/>
          <w:spacing w:val="-4"/>
          <w:szCs w:val="28"/>
          <w:lang w:val="nl-NL"/>
        </w:rPr>
        <w:t xml:space="preserve">Văn bản số </w:t>
      </w:r>
      <w:r>
        <w:rPr>
          <w:rFonts w:eastAsia="Times New Roman" w:cs="Times New Roman"/>
          <w:i/>
          <w:szCs w:val="28"/>
          <w:lang w:val="nl-NL" w:eastAsia="zh-CN"/>
        </w:rPr>
        <w:t>7970/UBND-NL4 ngày 25/12/2024</w:t>
      </w:r>
      <w:r>
        <w:rPr>
          <w:rFonts w:ascii="Arial" w:eastAsia="Times New Roman" w:hAnsi="Arial" w:cs="Arial"/>
          <w:sz w:val="20"/>
          <w:szCs w:val="20"/>
          <w:lang w:val="nl-NL" w:eastAsia="zh-CN"/>
        </w:rPr>
        <w:t xml:space="preserve">);  </w:t>
      </w:r>
      <w:r>
        <w:rPr>
          <w:rFonts w:eastAsia="Times New Roman" w:cs="Times New Roman"/>
          <w:szCs w:val="28"/>
          <w:lang w:val="nl-NL" w:eastAsia="zh-CN"/>
        </w:rPr>
        <w:t>chỉ đạo đẩy nhanh tiến độ thực hiện Chương trình chuyên đề tăng cường bảo vệ môi trường, ATTP và cấp nước sạch nông thôn trong xây dựng NTM</w:t>
      </w:r>
      <w:r>
        <w:rPr>
          <w:rFonts w:ascii="Arial" w:eastAsia="Times New Roman" w:hAnsi="Arial" w:cs="Arial"/>
          <w:sz w:val="20"/>
          <w:szCs w:val="20"/>
          <w:lang w:val="nl-NL" w:eastAsia="zh-CN"/>
        </w:rPr>
        <w:t xml:space="preserve"> </w:t>
      </w:r>
      <w:r>
        <w:rPr>
          <w:rFonts w:cs="Times New Roman"/>
          <w:szCs w:val="28"/>
          <w:lang w:val="nl-NL"/>
        </w:rPr>
        <w:t>(</w:t>
      </w:r>
      <w:r>
        <w:rPr>
          <w:rFonts w:cs="Times New Roman"/>
          <w:i/>
          <w:spacing w:val="-4"/>
          <w:szCs w:val="28"/>
          <w:lang w:val="nl-NL"/>
        </w:rPr>
        <w:t>Văn bản số 3803/</w:t>
      </w:r>
      <w:r>
        <w:rPr>
          <w:rFonts w:eastAsia="Times New Roman" w:cs="Times New Roman"/>
          <w:i/>
          <w:szCs w:val="28"/>
          <w:lang w:val="nl-NL" w:eastAsia="zh-CN"/>
        </w:rPr>
        <w:t>UBND-NL5 ngày 03/7/2024</w:t>
      </w:r>
      <w:r>
        <w:rPr>
          <w:rFonts w:cs="Times New Roman"/>
          <w:szCs w:val="28"/>
          <w:lang w:val="nl-NL"/>
        </w:rPr>
        <w:t>); ban hành các văn bản t</w:t>
      </w:r>
      <w:r>
        <w:rPr>
          <w:rFonts w:cs="Times New Roman"/>
          <w:spacing w:val="-4"/>
          <w:szCs w:val="28"/>
          <w:lang w:val="nl-NL"/>
        </w:rPr>
        <w:t>riển khai các Thông báo kết luận của Ban Chỉ đạo Trung ương, Bộ Nông nghiệp và PTNT</w:t>
      </w:r>
      <w:r>
        <w:rPr>
          <w:rStyle w:val="FootnoteReference"/>
          <w:rFonts w:cs="Times New Roman"/>
          <w:spacing w:val="-4"/>
          <w:szCs w:val="28"/>
          <w:lang w:val="nl-NL"/>
        </w:rPr>
        <w:footnoteReference w:id="6"/>
      </w:r>
      <w:r>
        <w:rPr>
          <w:rFonts w:cs="Times New Roman"/>
          <w:b/>
          <w:szCs w:val="28"/>
          <w:lang w:val="nl-NL"/>
        </w:rPr>
        <w:t>.</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Pr>
          <w:rFonts w:ascii="TimesNewRomanPSMT" w:hAnsi="TimesNewRomanPSMT"/>
          <w:spacing w:val="-4"/>
          <w:szCs w:val="28"/>
          <w:lang w:val="nl-NL"/>
        </w:rPr>
        <w:t>-</w:t>
      </w:r>
      <w:r>
        <w:rPr>
          <w:noProof/>
          <w:spacing w:val="-4"/>
          <w:szCs w:val="28"/>
          <w:lang w:val="vi-VN"/>
        </w:rPr>
        <w:t xml:space="preserve"> Ban Chỉ đạo tỉnh đã </w:t>
      </w:r>
      <w:r>
        <w:rPr>
          <w:noProof/>
          <w:spacing w:val="-4"/>
          <w:szCs w:val="28"/>
          <w:lang w:val="nl-NL"/>
        </w:rPr>
        <w:t xml:space="preserve">tổ </w:t>
      </w:r>
      <w:r>
        <w:rPr>
          <w:spacing w:val="-4"/>
          <w:szCs w:val="28"/>
          <w:lang w:val="nl-NL"/>
        </w:rPr>
        <w:t xml:space="preserve">chức hội nghị tổng kết năm 2023 và triển khai nhiệm vụ năm 2024 và đã ban hành </w:t>
      </w:r>
      <w:r>
        <w:rPr>
          <w:spacing w:val="-4"/>
          <w:szCs w:val="28"/>
          <w:lang w:val="pt-BR"/>
        </w:rPr>
        <w:t>thông báo kết luận của Chủ tịch UBND tỉnh, Trưởng Ban Chỉ đạo các Chương trình Mục tiêu quốc gia và xây dựng đô thị văn minh tại Hội nghị (</w:t>
      </w:r>
      <w:r>
        <w:rPr>
          <w:i/>
          <w:spacing w:val="-4"/>
          <w:szCs w:val="28"/>
          <w:lang w:val="pt-BR"/>
        </w:rPr>
        <w:t>Thông báo kết luận số 84/TB-UBND ngày 28/02/2024 của UBND tỉnh</w:t>
      </w:r>
      <w:r>
        <w:rPr>
          <w:spacing w:val="-4"/>
          <w:szCs w:val="28"/>
          <w:lang w:val="pt-BR"/>
        </w:rPr>
        <w:t>)</w:t>
      </w:r>
      <w:r>
        <w:rPr>
          <w:spacing w:val="-4"/>
          <w:szCs w:val="28"/>
          <w:lang w:val="nl-NL"/>
        </w:rPr>
        <w:t xml:space="preserve">; tham mưu Tỉnh ủy tổ chức </w:t>
      </w:r>
      <w:r>
        <w:rPr>
          <w:rFonts w:ascii="TimesNewRomanPSMT" w:hAnsi="TimesNewRomanPSMT"/>
          <w:spacing w:val="-4"/>
          <w:szCs w:val="28"/>
          <w:lang w:val="nl-NL"/>
        </w:rPr>
        <w:t xml:space="preserve">Hội nghị sơ kết 3 năm thực hiện Nghị quyết số 04-NQ/TU, ngày 15/7/2021 của Ban Chấp hành Đảng bộ tỉnh về tập trung lãnh đạo, chỉ đạo thực hiện Đề án “Thí điểm xây dựng tỉnh Hà Tĩnh đạt chuẩn nông thôn mới, giai đoạn 2021 - 2025” và dự thảo kết luận Hội nghị. </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Pr>
          <w:rFonts w:cs="Times New Roman"/>
          <w:spacing w:val="-4"/>
          <w:szCs w:val="28"/>
          <w:lang w:val="nl-NL"/>
        </w:rPr>
        <w:t>- Chỉ đạo thẩm tra, thẩm định xã, huyện đạt chuẩn đúng quy trình, khách quan: T</w:t>
      </w:r>
      <w:r>
        <w:rPr>
          <w:spacing w:val="-4"/>
          <w:szCs w:val="28"/>
          <w:lang w:val="nl-NL"/>
        </w:rPr>
        <w:t xml:space="preserve">rình Trung ương thẩm định và đã được Thủ tướng Chính phủ công nhận huyện Lộc Hà và huyện Kỳ Anh đạt chuẩn NTM; đã trình Trung ương thẩm định, xét, công nhận Thị xã Kỳ Anh hoàn thành nhiệm vụ xây dựng NTM; đang hoàn thiện hồ sơ trình Trung ương thẩm định, xét, công nhận TX Hồng Lĩnh hoàn thành nhiệm vụ xây dựng NTM và huyện Hương Khê đạt chuẩn NTM; thẩm định các xã đề xuất công nhận đạt chuẩn NTM nâng cao, NTM kiểu mẫu năm 2024; </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spacing w:val="-4"/>
          <w:szCs w:val="28"/>
          <w:lang w:val="nl-NL"/>
        </w:rPr>
      </w:pPr>
      <w:r>
        <w:rPr>
          <w:spacing w:val="-4"/>
          <w:szCs w:val="28"/>
          <w:lang w:val="nl-NL"/>
        </w:rPr>
        <w:t>- Công tác kiểm tra, chỉ đạo cơ sở: Ban Chỉ đạo tỉnh, UBND tỉnh đã tổ chức kiểm tra và làm việc với 6 huyện phấn đấu đạt chuẩn NTM/thị xã hoàn thành nhiệm vụ xây dựng NTM, huyện NTM nâng cao (</w:t>
      </w:r>
      <w:r>
        <w:rPr>
          <w:i/>
          <w:spacing w:val="-4"/>
          <w:szCs w:val="28"/>
          <w:lang w:val="nl-NL"/>
        </w:rPr>
        <w:t>Hương Khê, Thạch Hà, Can Lộc, Đức Thọ, Nghi Xuân, Thị xã Kỳ Anh</w:t>
      </w:r>
      <w:r>
        <w:rPr>
          <w:spacing w:val="-4"/>
          <w:szCs w:val="28"/>
          <w:lang w:val="nl-NL"/>
        </w:rPr>
        <w:t>). Sau kiểm tra đã ban hành các thông báo kết luận, giao nhiệm vụ cho các sở ngành, địa phương tổ chức thực hiện, tháo gỡ khó khăn, vướng mắc. Các Đoàn công tác của Ban Thường vụ Tỉnh ủy duy trì công tác kiểm tra, chỉ đạo cơ sở.</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Pr>
          <w:b/>
          <w:i/>
          <w:spacing w:val="-4"/>
          <w:szCs w:val="28"/>
          <w:lang w:val="nl-NL"/>
        </w:rPr>
        <w:t>1.2 Các sở ngành:</w:t>
      </w:r>
      <w:r>
        <w:rPr>
          <w:spacing w:val="-4"/>
          <w:szCs w:val="28"/>
          <w:lang w:val="nl-NL"/>
        </w:rPr>
        <w:t xml:space="preserve"> Đã tăng cường công tác kiểm tra, hướng dẫn, chỉ đạo cơ sở đối với các nội dung, tiêu chí được giao; thực hiện việc thẩm định xã đạt chuẩn NTM nâng cao, NTM kiểu mẫu; thẩm tra huyện đạt chuẩn NTM, NTM nâng cao, thị xã </w:t>
      </w:r>
      <w:r>
        <w:rPr>
          <w:spacing w:val="-4"/>
          <w:szCs w:val="28"/>
          <w:lang w:val="nl-NL"/>
        </w:rPr>
        <w:lastRenderedPageBreak/>
        <w:t>hoàn thành nhiệm vụ xây dựng nông thôn mới đảm bảo theo quy định; ban hành hướng dẫn thực hiện các chỉ tiêu, tiêu chí phụ trách theo Quyết định sửa đổi các Bộ tiêu chí do UBND tỉnh ban hành.</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Pr>
          <w:rFonts w:cs="Times New Roman"/>
          <w:b/>
          <w:bCs/>
          <w:szCs w:val="28"/>
          <w:lang w:val="nl-NL"/>
        </w:rPr>
        <w:t>2. Cấp huyện:</w:t>
      </w:r>
      <w:r>
        <w:rPr>
          <w:rFonts w:cs="Times New Roman"/>
          <w:bCs/>
          <w:szCs w:val="28"/>
          <w:lang w:val="nl-NL"/>
        </w:rPr>
        <w:t xml:space="preserve"> Đã tổ chức Hội nghị tổng kết Chương trình MTQG xây dựng NTM năm 2023, triển khai nhiệm vụ 2024</w:t>
      </w:r>
      <w:r>
        <w:rPr>
          <w:rFonts w:cs="Times New Roman"/>
          <w:spacing w:val="-4"/>
          <w:szCs w:val="28"/>
          <w:lang w:val="nl-NL"/>
        </w:rPr>
        <w:t>; tổ chức soát xét, đánh giá mức độ đạt chuẩn các xã và xây dựng kế hoạch thực hiện Chương trình NTM tại các xã; kịp thời phân bổ vốn thực hiện Chương trình NTM và ban hành các văn bản hướng dẫn chỉ đạo, hướng dẫn thực hiện Chương trình; tập trung chỉ đạo các xã phấn đấu đạt chuẩn NTM nâng cao, hoàn thiện các nội dung huyện NTM, huyện NTM nâng cao và thị xã hoàn thành nhiệm vụ xây dựng NTM; tổ chức đánh giá, phân hạng sản phẩm OCOP theo Quyết định 148/QĐ-TTg ngày 24/02/2023 của Thủ tướng Chính phủ.</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szCs w:val="28"/>
          <w:lang w:val="sq-AL"/>
        </w:rPr>
      </w:pPr>
      <w:r>
        <w:rPr>
          <w:b/>
          <w:szCs w:val="28"/>
          <w:lang w:val="da-DK"/>
        </w:rPr>
        <w:t xml:space="preserve">II. </w:t>
      </w:r>
      <w:r>
        <w:rPr>
          <w:b/>
          <w:szCs w:val="28"/>
          <w:lang w:val="de-DE"/>
        </w:rPr>
        <w:t>Kết quả thực hiện các nội dung chủ yếu</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b/>
          <w:szCs w:val="28"/>
          <w:lang w:val="sq-AL"/>
        </w:rPr>
      </w:pPr>
      <w:r>
        <w:rPr>
          <w:b/>
          <w:szCs w:val="28"/>
          <w:lang w:val="sq-AL"/>
        </w:rPr>
        <w:t>1. Theo các chỉ tiêu cơ bản:</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i/>
          <w:lang w:val="nl-NL"/>
        </w:rPr>
      </w:pPr>
      <w:r>
        <w:rPr>
          <w:b/>
          <w:szCs w:val="28"/>
          <w:lang w:val="sq-AL"/>
        </w:rPr>
        <w:t xml:space="preserve">- </w:t>
      </w:r>
      <w:r>
        <w:rPr>
          <w:i/>
          <w:szCs w:val="28"/>
          <w:lang w:val="sq-AL"/>
        </w:rPr>
        <w:t>Chỉ tiêu</w:t>
      </w:r>
      <w:r>
        <w:rPr>
          <w:b/>
          <w:szCs w:val="28"/>
          <w:lang w:val="sq-AL"/>
        </w:rPr>
        <w:t xml:space="preserve"> "</w:t>
      </w:r>
      <w:r>
        <w:rPr>
          <w:rStyle w:val="fontstyle01"/>
          <w:i/>
          <w:color w:val="auto"/>
          <w:lang w:val="nl-NL"/>
        </w:rPr>
        <w:t>Duy trì 100% xã đạt chuẩn nông thôn mới"</w:t>
      </w:r>
      <w:r>
        <w:rPr>
          <w:i/>
          <w:lang w:val="nl-NL"/>
        </w:rPr>
        <w:t xml:space="preserve">: </w:t>
      </w:r>
      <w:r>
        <w:rPr>
          <w:rStyle w:val="fontstyle01"/>
          <w:color w:val="auto"/>
          <w:lang w:val="nl-NL"/>
        </w:rPr>
        <w:t xml:space="preserve">13/13 huyện, thành phố, thị xã đã tập trung chỉ đạo các xã duy trì và nâng cao chất lượng các tiêu chí nên </w:t>
      </w:r>
      <w:r>
        <w:rPr>
          <w:lang w:val="nl-NL"/>
        </w:rPr>
        <w:t>100% xã đã đạt chuẩn NTM được duy trì, giữ vững các tiêu chí giai đoạn 2021-2025 (đạt 100%KH);</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i/>
          <w:lang w:val="nl-NL"/>
        </w:rPr>
      </w:pPr>
      <w:r>
        <w:rPr>
          <w:i/>
          <w:lang w:val="nl-NL"/>
        </w:rPr>
        <w:t xml:space="preserve">- </w:t>
      </w:r>
      <w:r>
        <w:rPr>
          <w:i/>
          <w:szCs w:val="28"/>
          <w:lang w:val="sq-AL"/>
        </w:rPr>
        <w:t>Chỉ tiêu</w:t>
      </w:r>
      <w:r>
        <w:rPr>
          <w:i/>
          <w:lang w:val="nl-NL"/>
        </w:rPr>
        <w:t xml:space="preserve"> "Có thêm 20 xã đạt chuẩn NTM nâng cao":</w:t>
      </w:r>
      <w:r>
        <w:rPr>
          <w:lang w:val="nl-NL"/>
        </w:rPr>
        <w:t xml:space="preserve"> Có 15 xã đạt chuẩn nông thôn mới nâng cao (đạt 75%KH).</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szCs w:val="28"/>
          <w:lang w:val="nl-NL"/>
        </w:rPr>
      </w:pPr>
      <w:r>
        <w:rPr>
          <w:i/>
          <w:lang w:val="nl-NL"/>
        </w:rPr>
        <w:t xml:space="preserve">- </w:t>
      </w:r>
      <w:r>
        <w:rPr>
          <w:i/>
          <w:szCs w:val="28"/>
          <w:lang w:val="sq-AL"/>
        </w:rPr>
        <w:t>Chỉ tiêu</w:t>
      </w:r>
      <w:r>
        <w:rPr>
          <w:i/>
          <w:lang w:val="nl-NL"/>
        </w:rPr>
        <w:t xml:space="preserve"> "05 xã đạt chuẩn NTM kiểu mẫu": </w:t>
      </w:r>
      <w:r>
        <w:rPr>
          <w:rFonts w:cs="Times New Roman"/>
          <w:szCs w:val="28"/>
          <w:lang w:val="nl-NL"/>
        </w:rPr>
        <w:t>có 4 xã đạt chuẩn NTM kiểu mẫu (đạt 80% KH);</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szCs w:val="28"/>
          <w:lang w:val="nl-NL"/>
        </w:rPr>
      </w:pPr>
      <w:r>
        <w:rPr>
          <w:i/>
          <w:lang w:val="nl-NL"/>
        </w:rPr>
        <w:t xml:space="preserve">- </w:t>
      </w:r>
      <w:r>
        <w:rPr>
          <w:i/>
          <w:szCs w:val="28"/>
          <w:lang w:val="sq-AL"/>
        </w:rPr>
        <w:t>Chỉ tiêu</w:t>
      </w:r>
      <w:r>
        <w:rPr>
          <w:i/>
          <w:lang w:val="nl-NL"/>
        </w:rPr>
        <w:t xml:space="preserve"> "100% huyện, thành phố, thị xã đạt chuẩn/hoàn thành nhiệm vụ xây dựng nông thôn mới"</w:t>
      </w:r>
      <w:r>
        <w:rPr>
          <w:lang w:val="nl-NL"/>
        </w:rPr>
        <w:t xml:space="preserve">: Huyện Lộc Hà và huyện Kỳ Anh được Thủ tướng Chính phủ công nhận huyện đạt chuẩn NTM; Thị xã Kỳ Anh đã trình Trung ương thẩm định, xét công nhận hoàn thành nhiệm vụ xây dựng NTM năm 2024; huyện Hương Khê, Thị xã Hồng Lĩnh </w:t>
      </w:r>
      <w:r>
        <w:rPr>
          <w:spacing w:val="-4"/>
          <w:lang w:val="nl-NL"/>
        </w:rPr>
        <w:t>đang hoàn thiện hồ sơ trình Trung ương thẩm định, xét công nhận đạt chuẩn NTM/hoàn thành nhiệm vụ xây dựng NTM</w:t>
      </w:r>
      <w:r>
        <w:rPr>
          <w:lang w:val="nl-NL"/>
        </w:rPr>
        <w:t xml:space="preserve">. </w:t>
      </w:r>
      <w:r>
        <w:rPr>
          <w:rFonts w:cs="Times New Roman"/>
          <w:szCs w:val="28"/>
          <w:lang w:val="nl-NL"/>
        </w:rPr>
        <w:t>Dự kiến có thêm thị xã Kỳ Anh, thị xã Hồng Lĩnh được công nhận hoàn thành nhiệm vụ xây dựng NTM và huyện Hương Khê đạt chuẩn NTM, nâng tổng số đơn vị cấp huyện đạt chuẩn NTM/hoàn thành nhiệm vụ NTM lên 12/12 đơn vị (đạt 100%KH).</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szCs w:val="28"/>
          <w:lang w:val="nl-NL"/>
        </w:rPr>
      </w:pPr>
      <w:r>
        <w:rPr>
          <w:rFonts w:cs="Times New Roman"/>
          <w:b/>
          <w:spacing w:val="-4"/>
          <w:szCs w:val="28"/>
          <w:lang w:val="nl-NL"/>
        </w:rPr>
        <w:t xml:space="preserve">2. Kết quả thực hiện theo các nội dung, tiêu chí </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i/>
          <w:spacing w:val="-4"/>
          <w:szCs w:val="28"/>
          <w:lang w:val="nl-NL"/>
        </w:rPr>
      </w:pPr>
      <w:r>
        <w:rPr>
          <w:rFonts w:cs="Times New Roman"/>
          <w:i/>
          <w:spacing w:val="-4"/>
          <w:szCs w:val="28"/>
          <w:lang w:val="nl-NL"/>
        </w:rPr>
        <w:t xml:space="preserve">2.1. Hạ tầng kinh tế xã hội </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i/>
          <w:spacing w:val="-4"/>
          <w:szCs w:val="28"/>
          <w:lang w:val="nl-NL"/>
        </w:rPr>
      </w:pPr>
      <w:r>
        <w:rPr>
          <w:rFonts w:cs="Times New Roman"/>
          <w:spacing w:val="-4"/>
          <w:szCs w:val="28"/>
          <w:lang w:val="de-DE"/>
        </w:rPr>
        <w:t>Năm 2024, t</w:t>
      </w:r>
      <w:r>
        <w:rPr>
          <w:rFonts w:cs="Times New Roman"/>
          <w:spacing w:val="-4"/>
          <w:szCs w:val="28"/>
          <w:lang w:val="nl-NL"/>
        </w:rPr>
        <w:t xml:space="preserve">oàn tỉnh </w:t>
      </w:r>
      <w:r>
        <w:rPr>
          <w:rFonts w:cs="Times New Roman"/>
          <w:spacing w:val="-4"/>
          <w:szCs w:val="28"/>
          <w:shd w:val="clear" w:color="auto" w:fill="FFFFFF"/>
          <w:lang w:val="sq-AL"/>
        </w:rPr>
        <w:t xml:space="preserve">làm được 294,356  km đường giao thông, trong đó theo cơ chế hỗ trợ xi măng </w:t>
      </w:r>
      <w:r>
        <w:rPr>
          <w:szCs w:val="28"/>
          <w:lang w:val="nl-NL"/>
        </w:rPr>
        <w:t>231,487km/301,86km đường giao thông (đạt 77%); 26,51/43,22 km rãnh thoát nước (đạt 61%); nâng cấp phục hồi mặt đường 119,920/150 km (đạt 79,9%);</w:t>
      </w:r>
      <w:r>
        <w:rPr>
          <w:rFonts w:cs="Times New Roman"/>
          <w:spacing w:val="-4"/>
          <w:szCs w:val="28"/>
          <w:shd w:val="clear" w:color="auto" w:fill="FFFFFF"/>
          <w:lang w:val="sq-AL"/>
        </w:rPr>
        <w:t xml:space="preserve"> 55,5 km kênh mương nội đồng, trong đó theo cơ chế hỗ trợ xi măng là </w:t>
      </w:r>
      <w:r>
        <w:rPr>
          <w:lang w:val="nl-NL"/>
        </w:rPr>
        <w:t>34,823km/50,844 km, đạt 68,49%KH</w:t>
      </w:r>
      <w:r>
        <w:rPr>
          <w:rFonts w:cs="Times New Roman"/>
          <w:spacing w:val="-4"/>
          <w:szCs w:val="28"/>
          <w:lang w:val="de-DE"/>
        </w:rPr>
        <w:t>;</w:t>
      </w:r>
      <w:r>
        <w:rPr>
          <w:rFonts w:cs="Times New Roman"/>
          <w:spacing w:val="-4"/>
          <w:szCs w:val="28"/>
          <w:shd w:val="clear" w:color="auto" w:fill="FFFFFF"/>
          <w:lang w:val="sq-AL"/>
        </w:rPr>
        <w:t xml:space="preserve"> </w:t>
      </w:r>
      <w:r>
        <w:rPr>
          <w:spacing w:val="3"/>
          <w:szCs w:val="28"/>
          <w:shd w:val="clear" w:color="auto" w:fill="FFFFFF"/>
          <w:lang w:val="nl-NL"/>
        </w:rPr>
        <w:t>xây mới đồng bộ 3 trường học (</w:t>
      </w:r>
      <w:r>
        <w:rPr>
          <w:i/>
          <w:spacing w:val="3"/>
          <w:szCs w:val="28"/>
          <w:shd w:val="clear" w:color="auto" w:fill="FFFFFF"/>
          <w:lang w:val="nl-NL"/>
        </w:rPr>
        <w:t>02 trường MN và 01 trường TH</w:t>
      </w:r>
      <w:r>
        <w:rPr>
          <w:spacing w:val="3"/>
          <w:szCs w:val="28"/>
          <w:shd w:val="clear" w:color="auto" w:fill="FFFFFF"/>
          <w:lang w:val="nl-NL"/>
        </w:rPr>
        <w:t xml:space="preserve">), xây mới, nâng cấp 904 phòng học, 572 phòng học bộ môn, 437  phòng hành chính, 60 nhà đa năng, 293 công trình vệ sinh học sinh; mua mới các thiết bị dạy học </w:t>
      </w:r>
      <w:r>
        <w:rPr>
          <w:i/>
          <w:spacing w:val="3"/>
          <w:szCs w:val="28"/>
          <w:shd w:val="clear" w:color="auto" w:fill="FFFFFF"/>
          <w:lang w:val="nl-NL"/>
        </w:rPr>
        <w:t>(2.389 máy tính, 1.531 Tivi, 22 bộ đồ chơi ngoài trời);</w:t>
      </w:r>
      <w:r>
        <w:rPr>
          <w:spacing w:val="3"/>
          <w:szCs w:val="28"/>
          <w:shd w:val="clear" w:color="auto" w:fill="FFFFFF"/>
          <w:lang w:val="nl-NL"/>
        </w:rPr>
        <w:t xml:space="preserve"> </w:t>
      </w:r>
      <w:r>
        <w:rPr>
          <w:lang w:val="nl-NL"/>
        </w:rPr>
        <w:t>đầu tư, xây dựng mới, nâng cấp 46 trạm y tế</w:t>
      </w:r>
      <w:r>
        <w:rPr>
          <w:rStyle w:val="FootnoteReference"/>
          <w:lang w:val="nl-NL"/>
        </w:rPr>
        <w:footnoteReference w:id="7"/>
      </w:r>
      <w:r>
        <w:rPr>
          <w:lang w:val="nl-NL"/>
        </w:rPr>
        <w:t>, 05 trung tâm y tế</w:t>
      </w:r>
      <w:r>
        <w:rPr>
          <w:rStyle w:val="FootnoteReference"/>
          <w:lang w:val="nl-NL"/>
        </w:rPr>
        <w:footnoteReference w:id="8"/>
      </w:r>
      <w:r>
        <w:rPr>
          <w:lang w:val="nl-NL"/>
        </w:rPr>
        <w:t xml:space="preserve">,  19 trạm y </w:t>
      </w:r>
      <w:r>
        <w:rPr>
          <w:lang w:val="nl-NL"/>
        </w:rPr>
        <w:lastRenderedPageBreak/>
        <w:t>tế tuyến xã</w:t>
      </w:r>
      <w:r>
        <w:rPr>
          <w:rStyle w:val="FootnoteReference"/>
        </w:rPr>
        <w:footnoteReference w:id="9"/>
      </w:r>
      <w:r>
        <w:rPr>
          <w:lang w:val="nl-NL"/>
        </w:rPr>
        <w:t>; nâng cấp; xây dựng, nâng cấp 12 nhà văn hóa, 6 khu thể thao xã, 114 nhà văn hóa, 117 khu thể thao thôn, ra mắt 43 mô hình "</w:t>
      </w:r>
      <w:r>
        <w:rPr>
          <w:szCs w:val="28"/>
          <w:lang w:val="es-MX"/>
        </w:rPr>
        <w:t>Nhà văn hóa cộng đồng - Ngôi nhà Trí tuệ"…</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i/>
          <w:spacing w:val="-4"/>
          <w:szCs w:val="28"/>
          <w:lang w:val="nl-NL"/>
        </w:rPr>
      </w:pPr>
      <w:r>
        <w:rPr>
          <w:rFonts w:cs="Times New Roman"/>
          <w:i/>
          <w:spacing w:val="-4"/>
          <w:szCs w:val="28"/>
          <w:lang w:val="nl-NL"/>
        </w:rPr>
        <w:t xml:space="preserve">2.2. Kinh tế và tổ chức sản xuất </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eastAsia="SimSun" w:cs="Times New Roman"/>
          <w:szCs w:val="28"/>
          <w:lang w:val="nl-NL"/>
        </w:rPr>
        <w:t xml:space="preserve">- Lĩnh vực nông nghiệp: </w:t>
      </w:r>
      <w:r>
        <w:rPr>
          <w:bCs/>
          <w:iCs/>
          <w:lang w:val="nl-NL"/>
        </w:rPr>
        <w:t>Nông nghiệp được mùa, được giá</w:t>
      </w:r>
      <w:r>
        <w:rPr>
          <w:vertAlign w:val="superscript"/>
        </w:rPr>
        <w:footnoteReference w:id="10"/>
      </w:r>
      <w:r>
        <w:rPr>
          <w:lang w:val="nl-NL"/>
        </w:rPr>
        <w:t>; vụ lúa Xuân và Hè Thu 2024 có</w:t>
      </w:r>
      <w:r>
        <w:rPr>
          <w:lang w:val="es-ES_tradnl"/>
        </w:rPr>
        <w:t xml:space="preserve"> </w:t>
      </w:r>
      <w:r>
        <w:rPr>
          <w:lang w:val="nl-NL"/>
        </w:rPr>
        <w:t>năng suất, sản lượng cao nhất từ trước đến nay</w:t>
      </w:r>
      <w:r>
        <w:rPr>
          <w:vertAlign w:val="superscript"/>
          <w:lang w:val="es-ES_tradnl"/>
        </w:rPr>
        <w:footnoteReference w:id="11"/>
      </w:r>
      <w:r>
        <w:rPr>
          <w:lang w:val="nl-NL"/>
        </w:rPr>
        <w:t xml:space="preserve">; </w:t>
      </w:r>
      <w:r>
        <w:rPr>
          <w:lang w:val="es-ES_tradnl"/>
        </w:rPr>
        <w:t>tổng sản lượng lương thực cả năm ước đạt 66,7 vạn tấn (tăng 2 vạn tấn so với năm 2023). Các mô hình nông nghiệp theo hướng hữu cơ, liên kết sản xuất hàng hóa với doanh nghiệp và tập trung tích tụ ruộng đất tiếp tục được mở rộng quy mô</w:t>
      </w:r>
      <w:r>
        <w:rPr>
          <w:vertAlign w:val="superscript"/>
        </w:rPr>
        <w:footnoteReference w:id="12"/>
      </w:r>
      <w:r>
        <w:rPr>
          <w:vertAlign w:val="superscript"/>
          <w:lang w:val="es-ES_tradnl"/>
        </w:rPr>
        <w:t>,</w:t>
      </w:r>
      <w:r>
        <w:rPr>
          <w:vertAlign w:val="superscript"/>
        </w:rPr>
        <w:footnoteReference w:id="13"/>
      </w:r>
      <w:r>
        <w:rPr>
          <w:lang w:val="es-ES_tradnl"/>
        </w:rPr>
        <w:t>; tăng thêm 1.383 ha diện tích dồn điền, đổi thửa tập trung, tích tụ ruộng đất</w:t>
      </w:r>
      <w:r>
        <w:rPr>
          <w:vertAlign w:val="superscript"/>
        </w:rPr>
        <w:footnoteReference w:id="14"/>
      </w:r>
      <w:r>
        <w:rPr>
          <w:lang w:val="es-ES_tradnl"/>
        </w:rPr>
        <w:t xml:space="preserve">. Cây ăn quả (cam, bưởi) đạt sản lượng khá, tăng 7% so với năm 2023. Chăn nuôi phát triển tốt, tổng đàn duy trì ổn định, dịch bệnh được kiểm soát, tổng sản lượng thịt hơi xuất chuồng tăng 4,5%. </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szCs w:val="28"/>
          <w:lang w:val="sq-AL"/>
        </w:rPr>
        <w:t>- Về phát triển THT, HTX: Năm 2024 toàn tỉnh đã thành lập 28 THT, 21 HTX, lũy kế đến ngày 31/12/2024 toàn tỉnh có 2.623 THT, 978 HTX (</w:t>
      </w:r>
      <w:r>
        <w:rPr>
          <w:i/>
          <w:lang w:val="es-ES_tradnl"/>
        </w:rPr>
        <w:t>trong đó 888 HTX đang hoạt động, 90 HTX ngừng hoạt động</w:t>
      </w:r>
      <w:r>
        <w:rPr>
          <w:lang w:val="es-ES_tradnl"/>
        </w:rPr>
        <w:t xml:space="preserve">); đánh giá hiệu quả HTX năm 2024 có </w:t>
      </w:r>
      <w:r>
        <w:rPr>
          <w:lang w:val="es-AR"/>
        </w:rPr>
        <w:t xml:space="preserve">đạt 41% HTX hoạt động tốt, khá; 32% HTX hoạt động trung bình, 24% HTX hoạt động yếu kém. </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pacing w:val="-6"/>
          <w:szCs w:val="28"/>
          <w:lang w:val="da-DK"/>
        </w:rPr>
        <w:t>- Lĩnh vực công nghiệp, tiểu thủ công nghiệp, thương mại dịch vụ nông thôn tiếp tục được duy trì:</w:t>
      </w:r>
      <w:r>
        <w:rPr>
          <w:szCs w:val="28"/>
          <w:lang w:val="es-ES_tradnl"/>
        </w:rPr>
        <w:t xml:space="preserve"> Có 14 sản phẩm/bộ được công nhận là sản phẩm công nghiệp nông thôn tiêu biểu cấp khu vực năm 2024, tiếp tục đứng đầu khu vực phía Bắc;  </w:t>
      </w:r>
      <w:r>
        <w:rPr>
          <w:rFonts w:eastAsia="Times New Roman" w:cs="Times New Roman"/>
          <w:iCs/>
          <w:szCs w:val="28"/>
          <w:lang w:val="it-IT"/>
        </w:rPr>
        <w:t>đã tổ chức thành công Phiên chợ quảng bá sản phẩm công nghiệp nông thôn tiêu biểu, sản phẩm OCOP Hà Tĩnh năm 2024; Hội chợ thương mại sản phẩm OCOP, sản phẩm công nghiệp nông thôn, sản phẩm chủ lực Hà Tĩnh năm 2024; Lễ hội cam và các sản phẩm nông nghiệp Hà Tĩnh</w:t>
      </w:r>
      <w:r>
        <w:rPr>
          <w:rFonts w:eastAsia="Times New Roman" w:cs="Times New Roman"/>
          <w:i/>
          <w:iCs/>
          <w:szCs w:val="28"/>
          <w:lang w:val="it-IT"/>
        </w:rPr>
        <w:t xml:space="preserve"> </w:t>
      </w:r>
      <w:r>
        <w:rPr>
          <w:rFonts w:eastAsia="Times New Roman" w:cs="Times New Roman"/>
          <w:iCs/>
          <w:szCs w:val="28"/>
          <w:lang w:val="it-IT"/>
        </w:rPr>
        <w:t>năm 2024...</w:t>
      </w:r>
      <w:r>
        <w:rPr>
          <w:rFonts w:cs="Times New Roman"/>
          <w:i/>
          <w:spacing w:val="-4"/>
          <w:szCs w:val="28"/>
          <w:lang w:val="nl-NL"/>
        </w:rPr>
        <w:t>2.3. Văn hóa, xã hội, môi trường:</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pacing w:val="-4"/>
          <w:szCs w:val="28"/>
          <w:lang w:val="nl-NL"/>
        </w:rPr>
        <w:t xml:space="preserve">- </w:t>
      </w:r>
      <w:r>
        <w:rPr>
          <w:rFonts w:cs="Times New Roman"/>
          <w:szCs w:val="28"/>
          <w:lang w:val="nl-NL"/>
        </w:rPr>
        <w:t xml:space="preserve">Các hoạt động văn hóa, văn nghệ, thể thao, vui chơi giải trí ở khu dân cư ngày càng sôi động; các mô hình văn hóa, thể thao, gia đình được củng cố và nhân rộng theo hướng vừa diện rộng và vừa chiều sâu, thu hút đông đảo người dân tham gia, toàn tỉnh hiện có 209 câu lạc bộ Dân ca Ví, Giặm; hơn 3.000 câu lạc bộ văn nghệ, thể thao cấp xã, thôn, hàng nghìn CLB văn nghệ, thể thao các ngành, đoàn </w:t>
      </w:r>
      <w:r>
        <w:rPr>
          <w:rFonts w:cs="Times New Roman"/>
          <w:szCs w:val="28"/>
          <w:lang w:val="nl-NL"/>
        </w:rPr>
        <w:lastRenderedPageBreak/>
        <w:t>thể, trường học hoạt động thường xuyên... Phong trào xây dựng Gia đình văn hóa, Thôn, tổ dân phố văn hóa, khu dân cư nông thôn mới kiểu mẫu, tổ dân phố văn minh kiểu mẫu, xã, phường, thị trấn tiêu biểu, cơ quan, đơn vị, doanh nghiệp đạt chuẩn văn hóa được đẩy mạnh, t</w:t>
      </w:r>
      <w:r>
        <w:rPr>
          <w:rFonts w:eastAsia="Arial" w:cs="Times New Roman"/>
          <w:szCs w:val="28"/>
          <w:lang w:val="nl-NL"/>
        </w:rPr>
        <w:t>oàn tỉnh hiện có 95,08% gia đình văn hóa, 98,57% thôn, tổ dân phố văn hóa...</w:t>
      </w:r>
      <w:r>
        <w:rPr>
          <w:rFonts w:cs="Times New Roman"/>
          <w:szCs w:val="28"/>
          <w:lang w:val="nl-NL"/>
        </w:rPr>
        <w:t xml:space="preserve"> </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Cs/>
          <w:szCs w:val="28"/>
          <w:lang w:val="nl-NL"/>
        </w:rPr>
        <w:t>- Chỉ đạo triển khai có chất lượng, hiệu quả Chương trình Giáo dục phổ thông mới, c</w:t>
      </w:r>
      <w:r>
        <w:rPr>
          <w:szCs w:val="28"/>
          <w:lang w:val="nl-NL"/>
        </w:rPr>
        <w:t xml:space="preserve">hất lượng ở các lớp chuyển biến rõ nét; </w:t>
      </w:r>
      <w:bookmarkStart w:id="1" w:name="_Hlk182322447"/>
      <w:bookmarkStart w:id="2" w:name="_Hlk175666072"/>
      <w:r>
        <w:rPr>
          <w:bCs/>
          <w:iCs/>
          <w:lang w:val="nl-NL"/>
        </w:rPr>
        <w:t>chất lượng giáo dục đại trà và mũi nhọn</w:t>
      </w:r>
      <w:bookmarkEnd w:id="1"/>
      <w:r>
        <w:rPr>
          <w:bCs/>
          <w:iCs/>
          <w:lang w:val="nl-NL"/>
        </w:rPr>
        <w:t xml:space="preserve"> được củng cố và nâng cao, </w:t>
      </w:r>
      <w:r>
        <w:rPr>
          <w:bCs/>
          <w:szCs w:val="28"/>
          <w:lang w:val="nl-NL"/>
        </w:rPr>
        <w:t>Hà Tĩnh đạt chuẩn phổ cập giáo dục THCS mức độ 3, xoá mù chữ mức độ 2</w:t>
      </w:r>
      <w:r>
        <w:rPr>
          <w:rStyle w:val="FootnoteReference"/>
          <w:bCs/>
          <w:szCs w:val="28"/>
          <w:lang w:val="nl-NL"/>
        </w:rPr>
        <w:footnoteReference w:id="15"/>
      </w:r>
      <w:r>
        <w:rPr>
          <w:bCs/>
          <w:szCs w:val="28"/>
          <w:lang w:val="nl-NL"/>
        </w:rPr>
        <w:t xml:space="preserve">; </w:t>
      </w:r>
      <w:r>
        <w:rPr>
          <w:lang w:val="nl-NL"/>
        </w:rPr>
        <w:t xml:space="preserve">xếp thứ 7 toàn quốc về điểm thi bình quân tốt nghiệp THPT </w:t>
      </w:r>
      <w:r>
        <w:rPr>
          <w:bCs/>
          <w:iCs/>
          <w:lang w:val="nl-NL"/>
        </w:rPr>
        <w:t>n</w:t>
      </w:r>
      <w:r>
        <w:rPr>
          <w:lang w:val="nl-NL"/>
        </w:rPr>
        <w:t xml:space="preserve">ăm học 2023-2024; xếp thứ 10 toàn quốc về số lượng học sinh đạt giải quốc gia, </w:t>
      </w:r>
      <w:bookmarkStart w:id="3" w:name="_Hlk182322500"/>
      <w:r>
        <w:rPr>
          <w:lang w:val="nl-NL"/>
        </w:rPr>
        <w:t>năm thứ ba liên tiếp đạt huy chương Olympic quốc tế</w:t>
      </w:r>
      <w:bookmarkStart w:id="4" w:name="_Hlk175666078"/>
      <w:bookmarkEnd w:id="2"/>
      <w:bookmarkEnd w:id="3"/>
      <w:r>
        <w:rPr>
          <w:lang w:val="nl-NL"/>
        </w:rPr>
        <w:t xml:space="preserve">. </w:t>
      </w:r>
      <w:bookmarkEnd w:id="4"/>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lang w:val="nl-NL"/>
        </w:rPr>
        <w:t xml:space="preserve">- </w:t>
      </w:r>
      <w:bookmarkStart w:id="5" w:name="_Hlk175666969"/>
      <w:r>
        <w:rPr>
          <w:lang w:val="es-ES_tradnl"/>
        </w:rPr>
        <w:t xml:space="preserve">Chất lượng khám, chữa bệnh tại các tuyến được nâng cao; </w:t>
      </w:r>
      <w:bookmarkEnd w:id="5"/>
      <w:r>
        <w:rPr>
          <w:lang w:val="es-ES"/>
        </w:rPr>
        <w:t xml:space="preserve">việc thực hiện đề án khám chữa bệnh từ xa và chuyển giao kỹ thuật của tuyến trên đối với tuyến huyện đã góp phần quan trọng nâng cao chất lượng khám chữa bệnh của tuyến huyện; </w:t>
      </w:r>
      <w:r>
        <w:rPr>
          <w:lang w:val="es-ES_tradnl"/>
        </w:rPr>
        <w:t>hoàn thành sắp xếp các đơn vị sự nghiệp y tế công lập theo Kết luận số 98-KL/TU của Tỉnh ủy, bàn giao các bệnh viện tuyến huyện để thành lập TTYT tuyến huyện 3 chức năng về UBND cấp huyện quản lý.</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pacing w:val="-6"/>
          <w:lang w:val="es-ES_tradnl"/>
        </w:rPr>
      </w:pPr>
      <w:r>
        <w:rPr>
          <w:rFonts w:cs="Times New Roman"/>
          <w:spacing w:val="-6"/>
          <w:szCs w:val="28"/>
          <w:lang w:val="nl-NL"/>
        </w:rPr>
        <w:t>- Công tác môi trường được quan tâm, chỉ đạo thực hiện, nhất là việc thu gom, phân loại rác tại hộ gia đình, xây dựng mô hình xử lý nước thải sinh hoạt. Năm 2024 toàn tỉnh có khoảng 75% số hộ thực hiện phân loại rác tại nguồn (</w:t>
      </w:r>
      <w:r>
        <w:rPr>
          <w:rFonts w:cs="Times New Roman"/>
          <w:i/>
          <w:spacing w:val="-6"/>
          <w:szCs w:val="28"/>
          <w:lang w:val="nl-NL"/>
        </w:rPr>
        <w:t>trong đó, có trên 166.000 hộ có công trình, biện pháp xử lý chất thải thực phẩm tại hộ và có 30 mô hình xử lý chất thải thực phẩm tập trung</w:t>
      </w:r>
      <w:r>
        <w:rPr>
          <w:rFonts w:cs="Times New Roman"/>
          <w:spacing w:val="-6"/>
          <w:szCs w:val="28"/>
          <w:lang w:val="nl-NL"/>
        </w:rPr>
        <w:t xml:space="preserve">); tỷ lệ chất thải thực phẩm sau phân loại và tự xử lý tại hộ gia đình đạt tỷ lệ 30,5%; tỷ lệ chất thải rắn sinh hoạt được thu gom và xử lý đúng quy định đạt tỷ lệ 90,4% so với lượng rác phát sinh; tỷ lệ hộ gia đình có công trình biện pháp xử lý nước thải tại chổ phù hợp toàn tỉnh đạt tỷ lệ 26,7% </w:t>
      </w:r>
      <w:r>
        <w:rPr>
          <w:rFonts w:cs="Times New Roman"/>
          <w:i/>
          <w:spacing w:val="-6"/>
          <w:szCs w:val="28"/>
          <w:lang w:val="nl-NL"/>
        </w:rPr>
        <w:t>(99.600 hộ/372.000 hộ</w:t>
      </w:r>
      <w:r>
        <w:rPr>
          <w:rFonts w:cs="Times New Roman"/>
          <w:spacing w:val="-6"/>
          <w:szCs w:val="28"/>
          <w:lang w:val="nl-NL"/>
        </w:rPr>
        <w:t>).</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eastAsia="Times New Roman" w:cs="Times New Roman"/>
          <w:i/>
          <w:szCs w:val="28"/>
          <w:lang w:val="fr-FR"/>
        </w:rPr>
        <w:t>2</w:t>
      </w:r>
      <w:r>
        <w:rPr>
          <w:rFonts w:cs="Times New Roman"/>
          <w:i/>
          <w:spacing w:val="-4"/>
          <w:szCs w:val="28"/>
          <w:lang w:val="nl-NL"/>
        </w:rPr>
        <w:t xml:space="preserve">.4. Hệ thống chính trị </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rFonts w:cs="Times New Roman"/>
          <w:szCs w:val="28"/>
          <w:lang w:val="nl-NL"/>
        </w:rPr>
        <w:t xml:space="preserve">- </w:t>
      </w:r>
      <w:r>
        <w:rPr>
          <w:szCs w:val="28"/>
          <w:lang w:val="nl-NL"/>
        </w:rPr>
        <w:t>Các địa phương đã kiện toàn Bộ máy Ban Chỉ đạo và bộ phận tham mưu giúp việc cấp huyện, kiện toàn Ban Quản lý xã, Ban Phát triển thôn.</w:t>
      </w:r>
      <w:bookmarkStart w:id="6" w:name="_Hlk182557298"/>
      <w:r>
        <w:rPr>
          <w:lang w:val="nl-NL"/>
        </w:rPr>
        <w:t xml:space="preserve"> Hoàn thiện Đề án sắp xếp các đơn vị hành chính cấp huyện, cấp xã giai đoạn 2023-2025; tổ chức lấy ý kiến cử tri đạt tỷ lệ đồng thuận cao và đã được Ủy ban Thường vụ Quốc hội thông </w:t>
      </w:r>
      <w:bookmarkEnd w:id="6"/>
      <w:r>
        <w:rPr>
          <w:lang w:val="nl-NL"/>
        </w:rPr>
        <w:t>qua.</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rFonts w:cs="Times New Roman"/>
          <w:szCs w:val="28"/>
          <w:lang w:val="nl-NL"/>
        </w:rPr>
        <w:t xml:space="preserve">- </w:t>
      </w:r>
      <w:r>
        <w:rPr>
          <w:lang w:val="nl-NL"/>
        </w:rPr>
        <w:t>An ninh chính trị, trật tự an toàn xã hội nhìn chung ổn định; tiếp tục đẩy mạnh triển khai Đề án 06, được Chính phủ đánh giá là 01 trong 15 tỉnh có cách làm hay trong tổ chức thực hiện; xếp thứ 3 toàn quốc về công tác duy trì dữ liệu đảm bảo “đúng, đủ, sạch, sống”.</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i/>
          <w:szCs w:val="28"/>
          <w:lang w:val="nl-NL"/>
        </w:rPr>
        <w:t xml:space="preserve">2.5. </w:t>
      </w:r>
      <w:r>
        <w:rPr>
          <w:rFonts w:cs="Times New Roman"/>
          <w:i/>
          <w:szCs w:val="28"/>
          <w:lang w:val="fr-FR"/>
        </w:rPr>
        <w:t>Xây dựng Khu dân cư NTM kiểu mẫu</w:t>
      </w:r>
      <w:r>
        <w:rPr>
          <w:rFonts w:cs="Times New Roman"/>
          <w:i/>
          <w:spacing w:val="4"/>
          <w:szCs w:val="28"/>
          <w:lang w:val="de-DE"/>
        </w:rPr>
        <w:t xml:space="preserve">: </w:t>
      </w:r>
      <w:r>
        <w:rPr>
          <w:rFonts w:cs="Times New Roman"/>
          <w:szCs w:val="28"/>
          <w:lang w:val="nb-NO"/>
        </w:rPr>
        <w:t xml:space="preserve">Các địa phương đã tập trung cập nhật các nội dung, tiêu chí Khu dân cư NTM kiểu mẫu theo Quyết định số 39/2022/QĐ-UBND ngày 9/12/2022 của UBND tỉnh về ban hành Bộ tiêu chí Khu dân cư NTM kiểu mẫu. Các thôn đã tập trung thực hiện đạt kết quả khá tích cực, như: chỉnh trang, nâng cấp, làm mới nhà ở và công trình phụ trợ; cải tạo, chỉnh trang vườn hộ, chuồng trại chăn nuôi; mở rộng, nâng cấp nền đường; nâng cấp, làm mới nhà văn hóa, khu thể thao thôn; xây dựng công trình xử lý nước thải sinh hoạt hộ gia đình; xây dựng mô hình camera an ninh;... Trong năm 2024 đã có 100 </w:t>
      </w:r>
      <w:r>
        <w:rPr>
          <w:rFonts w:cs="Times New Roman"/>
          <w:szCs w:val="28"/>
          <w:lang w:val="nb-NO"/>
        </w:rPr>
        <w:lastRenderedPageBreak/>
        <w:t xml:space="preserve">thôn được UBND cấp huyện công nhận đạt chuẩn khu dân cư kiểu mẫu; lũy kế đến nay toàn tỉnh có 1.205/1.512 thôn đạt chuẩn Khu dân cư NTM kiểu mẫu </w:t>
      </w:r>
      <w:r>
        <w:rPr>
          <w:rFonts w:cs="Times New Roman"/>
          <w:i/>
          <w:szCs w:val="28"/>
          <w:lang w:val="nb-NO"/>
        </w:rPr>
        <w:t>(chiếm 79,9% tổng số thôn)</w:t>
      </w:r>
      <w:r>
        <w:rPr>
          <w:rFonts w:cs="Times New Roman"/>
          <w:szCs w:val="28"/>
          <w:lang w:val="nb-NO"/>
        </w:rPr>
        <w:t xml:space="preserve">. </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
          <w:szCs w:val="28"/>
          <w:lang w:val="nb-NO"/>
        </w:rPr>
        <w:t>3.</w:t>
      </w:r>
      <w:r>
        <w:rPr>
          <w:rFonts w:cs="Times New Roman"/>
          <w:b/>
          <w:spacing w:val="-4"/>
          <w:szCs w:val="28"/>
          <w:lang w:val="nl-NL"/>
        </w:rPr>
        <w:t xml:space="preserve"> Xây dựng huyện NTM nâng cao, kiểu mẫu; thực hiện các yêu cầu tỉnh hoàn thành nhiệm vụ xây dựng NTM</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
          <w:i/>
          <w:spacing w:val="-4"/>
          <w:szCs w:val="28"/>
          <w:lang w:val="nl-NL"/>
        </w:rPr>
        <w:t>3.1 Về xây dựng huyện NTM nâng cao</w:t>
      </w:r>
      <w:r>
        <w:rPr>
          <w:rFonts w:cs="Times New Roman"/>
          <w:spacing w:val="-4"/>
          <w:szCs w:val="28"/>
          <w:lang w:val="nl-NL"/>
        </w:rPr>
        <w:t>: Toàn tỉnh có 4 huyện phấn đấu đạt chuẩn huyện NTM nâng cao năm 2024, kết quả đến nay:</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spacing w:val="-4"/>
          <w:szCs w:val="28"/>
          <w:lang w:val="nl-NL"/>
        </w:rPr>
      </w:pPr>
      <w:r>
        <w:rPr>
          <w:rFonts w:cs="Times New Roman"/>
          <w:i/>
          <w:spacing w:val="-4"/>
          <w:szCs w:val="28"/>
          <w:lang w:val="nl-NL"/>
        </w:rPr>
        <w:t>3.1.1 Đối với 2 huyện Đức Thọ, Nghi Xuân</w:t>
      </w:r>
      <w:r>
        <w:rPr>
          <w:rFonts w:cs="Times New Roman"/>
          <w:spacing w:val="-4"/>
          <w:szCs w:val="28"/>
          <w:lang w:val="nl-NL"/>
        </w:rPr>
        <w:t xml:space="preserve">: 2 huyện đã trình tỉnh thẩm tra, xét công nhận huyện đạt chuẩn NTM nâng cao; các sở ngành đã đánh giá đạt chuẩn các yêu cầu, tiêu chí huyện NTM nâng cao, UBND tỉnh </w:t>
      </w:r>
      <w:r>
        <w:rPr>
          <w:spacing w:val="-4"/>
          <w:szCs w:val="28"/>
          <w:lang w:val="nl-NL"/>
        </w:rPr>
        <w:t>đã c</w:t>
      </w:r>
      <w:r>
        <w:rPr>
          <w:rFonts w:eastAsia="Times New Roman" w:cs="Times New Roman"/>
          <w:color w:val="000000"/>
          <w:szCs w:val="28"/>
          <w:lang w:val="vi-VN" w:eastAsia="zh-CN"/>
        </w:rPr>
        <w:t>ông bố đủ điều kiện đề nghị xét, công nhận đạt chuẩn NTM nâng cao năm 2024</w:t>
      </w:r>
      <w:r>
        <w:rPr>
          <w:rFonts w:cs="Times New Roman"/>
          <w:spacing w:val="-4"/>
          <w:szCs w:val="28"/>
          <w:lang w:val="nl-NL"/>
        </w:rPr>
        <w:t>.</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i/>
          <w:spacing w:val="-4"/>
          <w:szCs w:val="28"/>
          <w:lang w:val="nl-NL"/>
        </w:rPr>
        <w:t>3.1.2 Đối với 2 huyện Thạch Hà và Can Lộc:</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rFonts w:eastAsia="Calibri"/>
          <w:bCs/>
          <w:lang w:val="nl-NL"/>
        </w:rPr>
        <w:t xml:space="preserve">- Huyện Thạch Hà: </w:t>
      </w:r>
      <w:r>
        <w:rPr>
          <w:lang w:val="nl-NL"/>
        </w:rPr>
        <w:t>Đạt chuẩn các yêu cầu Bộ tiêu chí huyện nông thôn mới giai đoạn 2021 - 2025</w:t>
      </w:r>
      <w:r>
        <w:rPr>
          <w:rStyle w:val="FootnoteReference"/>
          <w:rFonts w:eastAsia="Calibri"/>
          <w:bCs/>
          <w:lang w:val="nl-NL"/>
        </w:rPr>
        <w:footnoteReference w:id="16"/>
      </w:r>
      <w:r>
        <w:rPr>
          <w:rFonts w:eastAsia="Calibri"/>
          <w:bCs/>
          <w:lang w:val="nl-NL"/>
        </w:rPr>
        <w:t xml:space="preserve">; có 11/20 xã đạt chuẩn NTM nâng cao, đạt 57,1%; 3/20 xã đat chuẩn NTM kiểu mẫu </w:t>
      </w:r>
      <w:r>
        <w:rPr>
          <w:rFonts w:eastAsia="Calibri"/>
          <w:bCs/>
          <w:i/>
          <w:lang w:val="nl-NL"/>
        </w:rPr>
        <w:t xml:space="preserve">(Thạch Châu, Mai Phụ, Nam Điền), </w:t>
      </w:r>
      <w:r>
        <w:rPr>
          <w:rFonts w:eastAsia="Calibri"/>
          <w:bCs/>
          <w:lang w:val="nl-NL"/>
        </w:rPr>
        <w:t>đạt 15%;</w:t>
      </w:r>
      <w:r>
        <w:rPr>
          <w:rFonts w:eastAsia="Calibri"/>
          <w:b/>
          <w:bCs/>
          <w:lang w:val="nl-NL"/>
        </w:rPr>
        <w:t xml:space="preserve"> </w:t>
      </w:r>
      <w:r>
        <w:rPr>
          <w:lang w:val="nl-NL"/>
        </w:rPr>
        <w:t>đạt 4/9 tiêu chí huyện NTM nâng cao, còn lại 5/9 tiêu chí chưa đạt, mức độ đạt chuẩn từ 60-85% so với yêu cầu, gồm: Quy hoạch, Giao thông, Y tế - Văn hóa - Giáo dục, Môi trường, Chất lượng môi trường sống</w:t>
      </w:r>
      <w:r>
        <w:rPr>
          <w:rFonts w:eastAsia="Calibri"/>
          <w:bCs/>
          <w:lang w:val="nl-NL"/>
        </w:rPr>
        <w:t>.</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eastAsia="Calibri"/>
          <w:bCs/>
          <w:lang w:val="nl-NL"/>
        </w:rPr>
        <w:t>- Huyện Can Lộc: Chưa đạt chuẩn huyện NTM theo yêu cầu Bộ tiêu chí giai đoạn 2021-2025</w:t>
      </w:r>
      <w:r>
        <w:rPr>
          <w:rStyle w:val="FootnoteReference"/>
          <w:rFonts w:eastAsia="Calibri"/>
          <w:bCs/>
          <w:lang w:val="nl-NL"/>
        </w:rPr>
        <w:footnoteReference w:id="17"/>
      </w:r>
      <w:r>
        <w:rPr>
          <w:rFonts w:eastAsia="Calibri"/>
          <w:bCs/>
          <w:lang w:val="nl-NL"/>
        </w:rPr>
        <w:t xml:space="preserve">; có 8/15 xã đạt chuẩn NTM nâng cao, đạt 53,3%; có 01/15 xã đạt chuẩn NTM kiểu mẫu </w:t>
      </w:r>
      <w:r>
        <w:rPr>
          <w:rFonts w:eastAsia="Calibri"/>
          <w:bCs/>
          <w:i/>
          <w:lang w:val="nl-NL"/>
        </w:rPr>
        <w:t>(Thiên Lộc),</w:t>
      </w:r>
      <w:r>
        <w:rPr>
          <w:rFonts w:eastAsia="Calibri"/>
          <w:bCs/>
          <w:lang w:val="nl-NL"/>
        </w:rPr>
        <w:t xml:space="preserve"> đạt 6,7%; </w:t>
      </w:r>
      <w:r>
        <w:rPr>
          <w:lang w:val="nl-NL"/>
        </w:rPr>
        <w:t>đạt 3/9 tiêu chí huyện NTM nâng cao, còn lại 6/9 tiêu chí chưa đạt, mức độ đạt từ 60-70% so với yêu cầu, gồm: Giao thông; Y tế - Văn hóa - Giáo dục; Kinh tế; Môi trường, Chất lượng môi trường sống; An ninh trật tự - Hành chính công</w:t>
      </w:r>
      <w:r>
        <w:rPr>
          <w:rFonts w:eastAsia="Calibri"/>
          <w:bCs/>
          <w:lang w:val="nl-NL"/>
        </w:rPr>
        <w:t>.</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b/>
          <w:bCs/>
          <w:i/>
          <w:szCs w:val="28"/>
          <w:lang w:val="nl-NL"/>
        </w:rPr>
        <w:t>3.3 Về yêu cầu tỉnh hoàn thành nhiệm vụ xây dựng nông thôn mới theo các Quyết định của Chính phủ: Số 321/QĐ-TTg ngày 8/3/2022 của Thủ tướng Chính phủ</w:t>
      </w:r>
      <w:r>
        <w:rPr>
          <w:b/>
          <w:lang w:val="nl-NL"/>
        </w:rPr>
        <w:t xml:space="preserve">; </w:t>
      </w:r>
      <w:r>
        <w:rPr>
          <w:b/>
          <w:i/>
          <w:lang w:val="nl-NL"/>
        </w:rPr>
        <w:t>số 125/QĐ-TTg của Thủ tướng Chính phủ: Sửa đổi khoản 8 Điều 1 Quyết định số 321/QĐ-TTg ngày 08 tháng 3 năm 2022 của Thủ tướng Chính phủ.</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b/>
          <w:i/>
          <w:lang w:val="da-DK"/>
        </w:rPr>
        <w:t xml:space="preserve">- Có </w:t>
      </w:r>
      <w:r>
        <w:rPr>
          <w:b/>
          <w:i/>
          <w:lang w:val="nl-NL"/>
        </w:rPr>
        <w:t>5/8 yêu cầu đạt chuẩn, gồm:</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(1) </w:t>
      </w:r>
      <w:r>
        <w:rPr>
          <w:i/>
          <w:lang w:val="vi-VN"/>
        </w:rPr>
        <w:t xml:space="preserve">Có Đề án xây dựng </w:t>
      </w:r>
      <w:r>
        <w:rPr>
          <w:i/>
          <w:lang w:val="nl-NL"/>
        </w:rPr>
        <w:t>NTM</w:t>
      </w:r>
      <w:r>
        <w:rPr>
          <w:i/>
          <w:lang w:val="vi-VN"/>
        </w:rPr>
        <w:t xml:space="preserve"> toàn tỉnh, thành phố giai đoạn 2021 - 2025 được Hội đồng nhân dân tỉnh, thành phố trực thuộc trung ương thông qua</w:t>
      </w:r>
      <w:r>
        <w:rPr>
          <w:i/>
          <w:lang w:val="nl-NL"/>
        </w:rPr>
        <w:t xml:space="preserve">: </w:t>
      </w:r>
      <w:r>
        <w:rPr>
          <w:lang w:val="nl-NL"/>
        </w:rPr>
        <w:t>Đề án thí điểm xây dựng tỉnh Hà Tĩnh đạt chuẩn nông thôn mới được Thủ tướng Chính phủ phê duyệt tại Quyết định số 2114/QĐ-TTg ngày 16/12/2020.</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(2) </w:t>
      </w:r>
      <w:r>
        <w:rPr>
          <w:i/>
          <w:lang w:val="vi-VN"/>
        </w:rPr>
        <w:t>Có ít nhất 70% số km đường huyện, đường tỉnh, quốc lộ trên địa bàn được trồng cây xanh dọc tuyến đường</w:t>
      </w:r>
      <w:r>
        <w:rPr>
          <w:i/>
          <w:lang w:val="nl-NL"/>
        </w:rPr>
        <w:t xml:space="preserve">: </w:t>
      </w:r>
      <w:r>
        <w:rPr>
          <w:lang w:val="nl-NL"/>
        </w:rPr>
        <w:t>Trên địa bàn tỉnh</w:t>
      </w:r>
      <w:r>
        <w:rPr>
          <w:i/>
          <w:lang w:val="nl-NL"/>
        </w:rPr>
        <w:t xml:space="preserve"> </w:t>
      </w:r>
      <w:r>
        <w:rPr>
          <w:lang w:val="nl-NL"/>
        </w:rPr>
        <w:t xml:space="preserve">có 907,58km đường huyện lộ, tỉnh lộ, quốc lộ </w:t>
      </w:r>
      <w:r>
        <w:rPr>
          <w:bCs/>
          <w:lang w:val="nl-NL"/>
        </w:rPr>
        <w:t>được trồng cây xanh dọc tuyến đường</w:t>
      </w:r>
      <w:r>
        <w:rPr>
          <w:lang w:val="nl-NL"/>
        </w:rPr>
        <w:t>/tổng số km có thể trồng 1246,15 km</w:t>
      </w:r>
      <w:r>
        <w:rPr>
          <w:bCs/>
          <w:lang w:val="nl-NL"/>
        </w:rPr>
        <w:t>, đạt 73%</w:t>
      </w:r>
      <w:r>
        <w:rPr>
          <w:i/>
          <w:lang w:val="nl-NL"/>
        </w:rPr>
        <w:t xml:space="preserve"> (</w:t>
      </w:r>
      <w:r>
        <w:rPr>
          <w:bCs/>
          <w:i/>
          <w:lang w:val="nl-NL"/>
        </w:rPr>
        <w:t>đường huyện có 435,15km/537,55 km, đường tỉnh có 192,93 km/230,6 km, quốc lộ có 279,5km/ 478 km</w:t>
      </w:r>
      <w:r>
        <w:rPr>
          <w:bCs/>
          <w:lang w:val="nl-NL"/>
        </w:rPr>
        <w:t>)</w:t>
      </w:r>
      <w:r>
        <w:rPr>
          <w:i/>
          <w:lang w:val="nl-NL"/>
        </w:rPr>
        <w:t>.</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nl-NL"/>
        </w:rPr>
      </w:pPr>
      <w:r>
        <w:rPr>
          <w:i/>
          <w:lang w:val="nl-NL"/>
        </w:rPr>
        <w:lastRenderedPageBreak/>
        <w:t>(3)</w:t>
      </w:r>
      <w:r>
        <w:rPr>
          <w:i/>
          <w:lang w:val="vi-VN"/>
        </w:rPr>
        <w:t xml:space="preserve"> Đất cây xanh sử dụng công cộng trên địa bàn tối thiểu là 4 m</w:t>
      </w:r>
      <w:r>
        <w:rPr>
          <w:i/>
          <w:vertAlign w:val="superscript"/>
          <w:lang w:val="vi-VN"/>
        </w:rPr>
        <w:t>2</w:t>
      </w:r>
      <w:r>
        <w:rPr>
          <w:i/>
          <w:lang w:val="vi-VN"/>
        </w:rPr>
        <w:t>/người</w:t>
      </w:r>
      <w:r>
        <w:rPr>
          <w:i/>
          <w:lang w:val="nl-NL"/>
        </w:rPr>
        <w:t xml:space="preserve"> </w:t>
      </w:r>
      <w:r>
        <w:rPr>
          <w:lang w:val="nl-NL"/>
        </w:rPr>
        <w:t>hiện nay</w:t>
      </w:r>
      <w:r>
        <w:rPr>
          <w:i/>
          <w:lang w:val="nl-NL"/>
        </w:rPr>
        <w:t xml:space="preserve"> </w:t>
      </w:r>
      <w:r>
        <w:rPr>
          <w:lang w:val="nl-NL"/>
        </w:rPr>
        <w:t xml:space="preserve">Đất cây xanh sử dụng công cộng trên địa bàn tỉnh trung bình đạt 5,27 </w:t>
      </w:r>
      <w:r>
        <w:rPr>
          <w:i/>
          <w:lang w:val="vi-VN"/>
        </w:rPr>
        <w:t>m</w:t>
      </w:r>
      <w:r>
        <w:rPr>
          <w:i/>
          <w:vertAlign w:val="superscript"/>
          <w:lang w:val="vi-VN"/>
        </w:rPr>
        <w:t>2</w:t>
      </w:r>
      <w:r>
        <w:rPr>
          <w:lang w:val="nl-NL"/>
        </w:rPr>
        <w:t>/người.</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(4) </w:t>
      </w:r>
      <w:r>
        <w:rPr>
          <w:i/>
          <w:lang w:val="vi-VN"/>
        </w:rPr>
        <w:t xml:space="preserve">Chỉ số hài lòng của người dân, tổ chức đối với sự phục vụ của cơ quan hành chính nhà nước thuộc tỉnh, thành phố trực thuộc trung ương quản lý </w:t>
      </w:r>
      <w:r>
        <w:rPr>
          <w:i/>
          <w:lang w:val="nl-NL"/>
        </w:rPr>
        <w:t xml:space="preserve">(SIPAS) </w:t>
      </w:r>
      <w:r>
        <w:rPr>
          <w:i/>
          <w:lang w:val="vi-VN"/>
        </w:rPr>
        <w:t xml:space="preserve">đạt từ </w:t>
      </w:r>
      <w:r>
        <w:rPr>
          <w:i/>
          <w:lang w:val="nl-NL"/>
        </w:rPr>
        <w:t>8</w:t>
      </w:r>
      <w:r>
        <w:rPr>
          <w:i/>
          <w:lang w:val="vi-VN"/>
        </w:rPr>
        <w:t>0% trở lên</w:t>
      </w:r>
      <w:r>
        <w:rPr>
          <w:i/>
          <w:lang w:val="nl-NL"/>
        </w:rPr>
        <w:t xml:space="preserve">: </w:t>
      </w:r>
      <w:r>
        <w:rPr>
          <w:bCs/>
          <w:iCs/>
          <w:lang w:val="nl-NL"/>
        </w:rPr>
        <w:t xml:space="preserve">năm 2023 </w:t>
      </w:r>
      <w:r>
        <w:rPr>
          <w:lang w:val="nl-NL"/>
        </w:rPr>
        <w:t>chỉ số SIPAS năm 2023 của Hà Tĩnh đạt 88,97%, xếp thứ 4/63 tỉnh thành, tăng 3 bậc so với năm 2022 và xếp thứ nhất khu vực Bắc Trung bộ</w:t>
      </w:r>
      <w:r>
        <w:rPr>
          <w:bCs/>
          <w:iCs/>
          <w:lang w:val="nl-NL"/>
        </w:rPr>
        <w:t>.</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(5) </w:t>
      </w:r>
      <w:r>
        <w:rPr>
          <w:i/>
          <w:lang w:val="vi-VN"/>
        </w:rPr>
        <w:t xml:space="preserve">Có ít nhất 40% số xã trên địa bàn đạt chuẩn </w:t>
      </w:r>
      <w:r>
        <w:rPr>
          <w:i/>
          <w:lang w:val="nl-NL"/>
        </w:rPr>
        <w:t>NTM</w:t>
      </w:r>
      <w:r>
        <w:rPr>
          <w:i/>
          <w:lang w:val="vi-VN"/>
        </w:rPr>
        <w:t xml:space="preserve"> nâng cao giai đoạn 2021 </w:t>
      </w:r>
      <w:r>
        <w:rPr>
          <w:i/>
          <w:lang w:val="nl-NL"/>
        </w:rPr>
        <w:t>-</w:t>
      </w:r>
      <w:r>
        <w:rPr>
          <w:i/>
          <w:lang w:val="vi-VN"/>
        </w:rPr>
        <w:t xml:space="preserve"> 2025</w:t>
      </w:r>
      <w:r>
        <w:rPr>
          <w:i/>
          <w:lang w:val="nl-NL"/>
        </w:rPr>
        <w:t xml:space="preserve">: </w:t>
      </w:r>
      <w:r>
        <w:rPr>
          <w:bCs/>
          <w:lang w:val="nl-NL"/>
        </w:rPr>
        <w:t>Toàn tỉnh hiện có 69/169 xã đạt chuẩn NTM nâng cao, chiếm 40,8%.</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es-ES_tradnl"/>
        </w:rPr>
      </w:pPr>
      <w:r>
        <w:rPr>
          <w:b/>
          <w:i/>
          <w:lang w:val="nl-NL"/>
        </w:rPr>
        <w:t>- Có 3/8 yêu cầu còn lại đạt từ 70-80% so với quy định, cụ thể:</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(1) </w:t>
      </w:r>
      <w:r>
        <w:rPr>
          <w:i/>
          <w:lang w:val="vi-VN"/>
        </w:rPr>
        <w:t xml:space="preserve">Có 100% số huyện trên địa bàn đạt chuẩn </w:t>
      </w:r>
      <w:r>
        <w:rPr>
          <w:i/>
          <w:lang w:val="nl-NL"/>
        </w:rPr>
        <w:t>NTM</w:t>
      </w:r>
      <w:r>
        <w:rPr>
          <w:i/>
          <w:lang w:val="vi-VN"/>
        </w:rPr>
        <w:t xml:space="preserve"> giai đoạn 2021 - 2025</w:t>
      </w:r>
      <w:r>
        <w:rPr>
          <w:i/>
          <w:lang w:val="nl-NL"/>
        </w:rPr>
        <w:t>:</w:t>
      </w:r>
      <w:r>
        <w:rPr>
          <w:lang w:val="nl-NL"/>
        </w:rPr>
        <w:t xml:space="preserve"> Hiện nay toàn tỉnh</w:t>
      </w:r>
      <w:r>
        <w:rPr>
          <w:i/>
          <w:lang w:val="nl-NL"/>
        </w:rPr>
        <w:t xml:space="preserve"> </w:t>
      </w:r>
      <w:r>
        <w:rPr>
          <w:lang w:val="nl-NL"/>
        </w:rPr>
        <w:t>có 8/9 huyện đạt chuẩn NTM (</w:t>
      </w:r>
      <w:r>
        <w:rPr>
          <w:i/>
          <w:lang w:val="nl-NL"/>
        </w:rPr>
        <w:t>đạt 89%</w:t>
      </w:r>
      <w:r>
        <w:rPr>
          <w:lang w:val="nl-NL"/>
        </w:rPr>
        <w:t>); còn huyện Hương Khê đang hoàn thiện hồ sơ trình Trung ương thẩm định, xét, đề nghị công nhận huyện đạt chuẩn nông thôn mới</w:t>
      </w:r>
      <w:r>
        <w:rPr>
          <w:b/>
          <w:i/>
          <w:lang w:val="nl-NL"/>
        </w:rPr>
        <w:t xml:space="preserve">. </w:t>
      </w:r>
      <w:r>
        <w:rPr>
          <w:i/>
          <w:lang w:val="nl-NL"/>
        </w:rPr>
        <w:t>Nâng tổng số huyện đạt chuẩn NTM lên 9/9 huyện (đạt 100%).</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nl-NL"/>
        </w:rPr>
      </w:pPr>
      <w:r>
        <w:rPr>
          <w:i/>
          <w:lang w:val="nl-NL"/>
        </w:rPr>
        <w:t>(2)</w:t>
      </w:r>
      <w:r>
        <w:rPr>
          <w:i/>
          <w:lang w:val="vi-VN"/>
        </w:rPr>
        <w:t xml:space="preserve"> Có 100% số thị xã, thành phố trên địa bàn hoàn thành nhiệm vụ xây dựng </w:t>
      </w:r>
      <w:r>
        <w:rPr>
          <w:i/>
          <w:lang w:val="nl-NL"/>
        </w:rPr>
        <w:t>NTM</w:t>
      </w:r>
      <w:r>
        <w:rPr>
          <w:i/>
          <w:lang w:val="vi-VN"/>
        </w:rPr>
        <w:t xml:space="preserve"> giai đoạn 2021 - 2025</w:t>
      </w:r>
      <w:r>
        <w:rPr>
          <w:i/>
          <w:lang w:val="da-DK"/>
        </w:rPr>
        <w:t xml:space="preserve">: </w:t>
      </w:r>
      <w:r>
        <w:rPr>
          <w:lang w:val="da-DK"/>
        </w:rPr>
        <w:t xml:space="preserve">Toàn tỉnh hiện </w:t>
      </w:r>
      <w:r>
        <w:rPr>
          <w:lang w:val="nl-NL"/>
        </w:rPr>
        <w:t>có 1/3 thành phố, thị xã hoàn thành nhiệm vụ xây dựng NTM (</w:t>
      </w:r>
      <w:r>
        <w:rPr>
          <w:i/>
          <w:lang w:val="nl-NL"/>
        </w:rPr>
        <w:t>đạt 33,3%</w:t>
      </w:r>
      <w:r>
        <w:rPr>
          <w:lang w:val="nl-NL"/>
        </w:rPr>
        <w:t xml:space="preserve">); thị xã Kỳ Anh,UBND tỉnh đã trình Trung ương thẩm định xét, đề nghị công nhận thị xã hoàn thành nhiệm vụ xây dựng nông thôn mới và thị xã Hồng Lĩnh đang hoàn thiện hồ sơ trình Trung ương xét, đề nghị công nhận thị xã hoàn thành nhiệm vụ xây dựng nông thôn mới. </w:t>
      </w:r>
      <w:r>
        <w:rPr>
          <w:i/>
          <w:lang w:val="nl-NL"/>
        </w:rPr>
        <w:t>Nâng tổng số thành phố, thị xã hoàn thành nhiệm vụ xây dựng NTM lên 3/3 thành phố, thị xã (đạt 100%).</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es-ES_tradnl"/>
        </w:rPr>
      </w:pPr>
      <w:r>
        <w:rPr>
          <w:i/>
          <w:lang w:val="nl-NL"/>
        </w:rPr>
        <w:t xml:space="preserve">(3) </w:t>
      </w:r>
      <w:r>
        <w:rPr>
          <w:i/>
          <w:lang w:val="vi-VN"/>
        </w:rPr>
        <w:t xml:space="preserve">Có ít nhất 20% số huyện trên địa bàn đạt chuẩn </w:t>
      </w:r>
      <w:r>
        <w:rPr>
          <w:i/>
          <w:lang w:val="nl-NL"/>
        </w:rPr>
        <w:t>NTM</w:t>
      </w:r>
      <w:r>
        <w:rPr>
          <w:i/>
          <w:lang w:val="vi-VN"/>
        </w:rPr>
        <w:t xml:space="preserve"> nâng cao giai đoạn 2021 </w:t>
      </w:r>
      <w:r>
        <w:rPr>
          <w:i/>
          <w:lang w:val="nl-NL"/>
        </w:rPr>
        <w:t>-</w:t>
      </w:r>
      <w:r>
        <w:rPr>
          <w:i/>
          <w:lang w:val="vi-VN"/>
        </w:rPr>
        <w:t xml:space="preserve"> 2025</w:t>
      </w:r>
      <w:r>
        <w:rPr>
          <w:i/>
          <w:lang w:val="nl-NL"/>
        </w:rPr>
        <w:t xml:space="preserve">: </w:t>
      </w:r>
      <w:r>
        <w:rPr>
          <w:lang w:val="nl-NL"/>
        </w:rPr>
        <w:t>Hà Tĩnh tập trung chỉ đạo 4/9 huyện, gồm Can Lộc, Thạch Hà, Đức Thọ, Nghi Xuân phấn đấu đạt chuẩn huyện NTM nâng cao; đến nay:</w:t>
      </w:r>
      <w:r>
        <w:rPr>
          <w:b/>
          <w:i/>
          <w:lang w:val="nl-NL"/>
        </w:rPr>
        <w:t xml:space="preserve"> </w:t>
      </w:r>
      <w:r>
        <w:rPr>
          <w:lang w:val="vi-VN"/>
        </w:rPr>
        <w:t>2</w:t>
      </w:r>
      <w:r>
        <w:rPr>
          <w:i/>
          <w:lang w:val="nl-NL"/>
        </w:rPr>
        <w:t xml:space="preserve"> </w:t>
      </w:r>
      <w:r>
        <w:rPr>
          <w:lang w:val="nl-NL"/>
        </w:rPr>
        <w:t xml:space="preserve">huyện Đức Thọ và Nghi Xuân Hiện đã trình UBND tỉnh thẩm tra, xét, công nhận huyện đạt chuẩn NTM nâng cao, các sở ngành đã tổ chức thẩm tra, đánh giá đạt chuẩn các yêu cầu, tiêu chí, UBND tỉnh đã công bố </w:t>
      </w:r>
      <w:r>
        <w:rPr>
          <w:spacing w:val="-4"/>
          <w:szCs w:val="28"/>
          <w:lang w:val="nl-NL"/>
        </w:rPr>
        <w:t>đã c</w:t>
      </w:r>
      <w:r>
        <w:rPr>
          <w:rFonts w:eastAsia="Times New Roman" w:cs="Times New Roman"/>
          <w:color w:val="000000"/>
          <w:szCs w:val="28"/>
          <w:lang w:val="vi-VN" w:eastAsia="zh-CN"/>
        </w:rPr>
        <w:t>ông bố đủ điều kiện đề nghị xét, công nhận đạt chuẩn NTM nâng cao năm 2024</w:t>
      </w:r>
      <w:r>
        <w:rPr>
          <w:lang w:val="nl-NL"/>
        </w:rPr>
        <w:t xml:space="preserve">; </w:t>
      </w:r>
      <w:r>
        <w:rPr>
          <w:lang w:val="vi-VN"/>
        </w:rPr>
        <w:t>2</w:t>
      </w:r>
      <w:r>
        <w:rPr>
          <w:lang w:val="nl-NL"/>
        </w:rPr>
        <w:t xml:space="preserve"> huyện Thạch Hà và Can Lộc đạt khoảng 60-70% yêu cầu Bộ tiêu chí huyện đạt chuẩn nông thôn mới nâng cao.</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
          <w:szCs w:val="28"/>
          <w:lang w:val="nl-NL"/>
        </w:rPr>
        <w:t xml:space="preserve">4. </w:t>
      </w:r>
      <w:r>
        <w:rPr>
          <w:rFonts w:cs="Times New Roman"/>
          <w:b/>
          <w:szCs w:val="28"/>
          <w:lang w:val="nb-NO"/>
        </w:rPr>
        <w:t>Kết quả thực hiện các Chương trình chuyên đề trong xây dựng NTM</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i/>
          <w:sz w:val="27"/>
          <w:szCs w:val="27"/>
          <w:lang w:val="nl-NL"/>
        </w:rPr>
        <w:t xml:space="preserve">4.1. </w:t>
      </w:r>
      <w:r>
        <w:rPr>
          <w:rFonts w:cs="Times New Roman"/>
          <w:i/>
          <w:sz w:val="27"/>
          <w:szCs w:val="27"/>
          <w:lang w:val="nb-NO"/>
        </w:rPr>
        <w:t>Chương</w:t>
      </w:r>
      <w:r>
        <w:rPr>
          <w:rFonts w:cs="Times New Roman"/>
          <w:sz w:val="27"/>
          <w:szCs w:val="27"/>
          <w:lang w:val="nb-NO"/>
        </w:rPr>
        <w:t xml:space="preserve"> </w:t>
      </w:r>
      <w:r>
        <w:rPr>
          <w:i/>
          <w:lang w:val="nl-NL"/>
        </w:rPr>
        <w:t>trình OCOP</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es-ES_tradnl"/>
        </w:rPr>
      </w:pPr>
      <w:r>
        <w:rPr>
          <w:lang w:val="nl-NL"/>
        </w:rPr>
        <w:t>Chương trình OCOP đạt kết quả khá, năm 2024 c</w:t>
      </w:r>
      <w:r>
        <w:rPr>
          <w:spacing w:val="-2"/>
          <w:szCs w:val="28"/>
          <w:lang w:val="nl-NL"/>
        </w:rPr>
        <w:t>ấp huyện đã tổ chức, đánh giá công nhận 90 sản phẩm đạt chuẩn OCOP 3 sao (</w:t>
      </w:r>
      <w:r>
        <w:rPr>
          <w:i/>
          <w:spacing w:val="-2"/>
          <w:szCs w:val="28"/>
          <w:lang w:val="nl-NL"/>
        </w:rPr>
        <w:t>trong đó công nhận mới 60 sản phẩm, công nhận lại 30 sản phẩm</w:t>
      </w:r>
      <w:r>
        <w:rPr>
          <w:spacing w:val="-2"/>
          <w:szCs w:val="28"/>
          <w:lang w:val="nl-NL"/>
        </w:rPr>
        <w:t>); cấp tỉnh đã tổ chức đánh giá, công nhận 8 sản phẩm 4 sao; lũy kế đến nay toàn tỉnh đã công nhận 396 sản phẩm OCOP, trong đó có 314 sản phẩm còn hiệu lực chứng nhận OCOP (</w:t>
      </w:r>
      <w:r>
        <w:rPr>
          <w:i/>
          <w:spacing w:val="-2"/>
          <w:szCs w:val="28"/>
          <w:lang w:val="nl-NL"/>
        </w:rPr>
        <w:t>gồm 15 sản phẩm 4 sao, 299 sản phẩm 3 sao</w:t>
      </w:r>
      <w:r>
        <w:rPr>
          <w:spacing w:val="-2"/>
          <w:szCs w:val="28"/>
          <w:lang w:val="nl-NL"/>
        </w:rPr>
        <w:t xml:space="preserve">). Công tác xúc tiến thương mại được quan tâm đẩy mạnh: các cơ sở có sản phẩm OCOP tham gia trưng bày, giới thiệu, quảng bá sản phẩm OCOP tại  hơn 40 Hội chợ và Hội nghị tại các tỉnh, thành phố trên cả nước; 100% sản phẩm OCOP xúc tiến thương mại trên sàn thương mại điện tử của tỉnh; 40% có gian hàng trên sàn thương mại điện tử lớn như shopee, lazada, tiktok; 5% sản phẩm có mặt trong hệ </w:t>
      </w:r>
      <w:r>
        <w:rPr>
          <w:spacing w:val="-2"/>
          <w:szCs w:val="28"/>
          <w:lang w:val="nl-NL"/>
        </w:rPr>
        <w:lastRenderedPageBreak/>
        <w:t>thống siêu thị lớn Coopmart, Big C...Sản lượng tiêu thụ sản phẩm OCOP ước đạt 210 tỷ đồng,  tăng 14% so với cùng kỳ năm 2023.</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es-ES_tradnl"/>
        </w:rPr>
      </w:pPr>
      <w:r>
        <w:rPr>
          <w:lang w:val="nl-NL"/>
        </w:rPr>
        <w:t xml:space="preserve">Nhiều cơ sở tham gia Chương trình OCOP đã được hỗ trợ đầu tư máy móc trang thiết bị, xây dựng tiêu chuẩn sản xuất,...nên các sản phẩm đã có nhiều chuyển biến tích cực về chất lượng, bao bì nhãn mác, bộ nhận diện thương hiệu,... các tổ chức kinh tế sau khi tham gia Chương trình được củng cố, tái cấu trúc hoạt động hiệu quả hơn, tạo việc làm cho hơn 2.000 lao động trực tiếp và hàng ngàn lao động gián tiếp, góp phần phát triển kinh tế của địa phương. Các sản phẩm sau khi tham gia Chương trình OCOP đã tích cực tham gia các hoạt động xúc tiến thương mại trong và ngoài tỉnh, được người tiêu dùng đón nhận. Có 7 sản phẩm xuất khẩu: Bánh ram Anh Thu (Hàn Quốc), bánh ram Nam Chi (Hàn Quốc), Cu đơ Bà Hường (Newziland), Bánh đa vừng Nguyên Lâm (Nga và Nhật Bản), nước mắm Luận Nghiệp (Agiela và Úc), nước mắm Phú Sáng (Úc), sứa Mai Dung (Hàn Quốc).  </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i/>
          <w:spacing w:val="-2"/>
          <w:szCs w:val="28"/>
          <w:lang w:val="nl-NL"/>
        </w:rPr>
        <w:t xml:space="preserve">Đối với mô hình thí điểm: Xây dựng chuỗi liên kết các sản phẩm OCOP từ nhung hươu gắn với phát triển cộng đồng trong quản lý tài nguyên, bảo tồn đa dạng sinh học tại xã Sơn Giang, huyện Hương Sơn, tỉnh Hà Tĩnh”: </w:t>
      </w:r>
      <w:r>
        <w:rPr>
          <w:rFonts w:cs="Times New Roman"/>
          <w:spacing w:val="-2"/>
          <w:szCs w:val="28"/>
          <w:lang w:val="nl-NL"/>
        </w:rPr>
        <w:t>Ủy ban nhân dân huyện Hương Sơn ban hành Quyết định phê duyệt Kế hoạch thực hiện mô hình (số 5484/QĐ-UBND ngày 17/11/2023); đến nay, đã hoàn thành công trình đường giao thông vào khu sản xuất thức ăn và khu bảo tồn đa dạng sinh học xã Sơn Giang - Giai đoạn 1. Khởi công công trình đường giao thông vào khu vực sản xuất thức ăn và bảo tồn đa dạng sinh học xã Sơn Giang - Giai đoạn 2; xây dựng nhà xưởng và chuồng trại chăn nuôi hươu; Lựa chọn 21 hộ chăn nuôi hươu đủ điều kiện liên kết theo chuỗi với Hợp tác xã đầu tư và phát triển nhung hươu Hương Sơn; hoàn thành thiết kế, dự toán Nhà xưởng chế biến sản phẩm nhung hươu.</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es-ES_tradnl"/>
        </w:rPr>
      </w:pPr>
      <w:r>
        <w:rPr>
          <w:i/>
          <w:lang w:val="nl-NL"/>
        </w:rPr>
        <w:t>4.2</w:t>
      </w:r>
      <w:r>
        <w:rPr>
          <w:i/>
          <w:iCs/>
          <w:szCs w:val="28"/>
          <w:lang w:val="nl-NL"/>
        </w:rPr>
        <w:t>.</w:t>
      </w:r>
      <w:r>
        <w:rPr>
          <w:i/>
          <w:iCs/>
          <w:szCs w:val="28"/>
          <w:lang w:val="vi-VN"/>
        </w:rPr>
        <w:t xml:space="preserve"> Chương trình tăng cường bảo vệ môi trường, an toàn thực phẩm và cấp nước sạch nông thôn trong xây dựng NTM giai đoạn 2021-2025</w:t>
      </w:r>
      <w:r>
        <w:rPr>
          <w:szCs w:val="28"/>
          <w:lang w:val="nl-NL"/>
        </w:rPr>
        <w:t>- Về thu gom, phân loại, xử lý rác thải: T</w:t>
      </w:r>
      <w:r>
        <w:rPr>
          <w:rFonts w:cs="Times New Roman"/>
          <w:spacing w:val="-2"/>
          <w:szCs w:val="28"/>
          <w:lang w:val="nl-NL"/>
        </w:rPr>
        <w:t>oàn tỉnh có khoảng 75% số hộ thực hiện phân loại rác tại nguồn</w:t>
      </w:r>
      <w:r>
        <w:rPr>
          <w:rStyle w:val="FootnoteReference"/>
          <w:rFonts w:cs="Times New Roman"/>
          <w:spacing w:val="-2"/>
          <w:szCs w:val="28"/>
          <w:lang w:val="nl-NL"/>
        </w:rPr>
        <w:footnoteReference w:id="18"/>
      </w:r>
      <w:r>
        <w:rPr>
          <w:rFonts w:cs="Times New Roman"/>
          <w:spacing w:val="-2"/>
          <w:szCs w:val="28"/>
          <w:lang w:val="nl-NL"/>
        </w:rPr>
        <w:t>; tổng lượng chất thải thực phẩm sau phân loại và tự xử lý tại hộ gia đình đạt tỷ lệ 30,5% lượng chất thải rắn sinh hoạt phát sinh (744,1 tấn/ngày); t</w:t>
      </w:r>
      <w:r>
        <w:rPr>
          <w:rFonts w:eastAsia="Times New Roman" w:cs="Times New Roman"/>
          <w:szCs w:val="28"/>
          <w:lang w:val="nl-NL"/>
        </w:rPr>
        <w:t xml:space="preserve">ỷ lệ chất thải rắn sinh hoạt được thu gom và xử lý </w:t>
      </w:r>
      <w:r>
        <w:rPr>
          <w:rFonts w:cs="Times New Roman"/>
          <w:szCs w:val="28"/>
          <w:lang w:val="nl-NL"/>
        </w:rPr>
        <w:t xml:space="preserve">đạt tỷ lệ </w:t>
      </w:r>
      <w:r>
        <w:rPr>
          <w:rFonts w:cs="Times New Roman"/>
          <w:b/>
          <w:szCs w:val="28"/>
          <w:lang w:val="nl-NL"/>
        </w:rPr>
        <w:t>90,4%</w:t>
      </w:r>
      <w:r>
        <w:rPr>
          <w:rFonts w:cs="Times New Roman"/>
          <w:szCs w:val="28"/>
          <w:lang w:val="nl-NL"/>
        </w:rPr>
        <w:t xml:space="preserve"> so với lượng rác phát sinh</w:t>
      </w:r>
      <w:r>
        <w:rPr>
          <w:rStyle w:val="FootnoteReference"/>
          <w:rFonts w:cs="Times New Roman"/>
          <w:szCs w:val="28"/>
          <w:lang w:val="nl-NL"/>
        </w:rPr>
        <w:footnoteReference w:id="19"/>
      </w:r>
      <w:r>
        <w:rPr>
          <w:rFonts w:cs="Times New Roman"/>
          <w:szCs w:val="28"/>
          <w:lang w:val="nl-NL"/>
        </w:rPr>
        <w:t xml:space="preserve">. </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zCs w:val="28"/>
          <w:lang w:val="nl-NL"/>
        </w:rPr>
        <w:t xml:space="preserve">- Về </w:t>
      </w:r>
      <w:r>
        <w:rPr>
          <w:rFonts w:eastAsia="Times New Roman" w:cs="Times New Roman"/>
          <w:spacing w:val="-2"/>
          <w:szCs w:val="28"/>
          <w:lang w:val="nl-NL"/>
        </w:rPr>
        <w:t xml:space="preserve">mô hình xử lý chất thải sinh hoạt quy mô cấp huyện hoặc liên huyện với công nghệ phù hợp: </w:t>
      </w:r>
      <w:r>
        <w:rPr>
          <w:rFonts w:cs="Times New Roman"/>
          <w:spacing w:val="-2"/>
          <w:szCs w:val="28"/>
          <w:lang w:val="hsb-DE"/>
        </w:rPr>
        <w:t>Toàn</w:t>
      </w:r>
      <w:r>
        <w:rPr>
          <w:rFonts w:cs="Times New Roman"/>
          <w:spacing w:val="-2"/>
          <w:szCs w:val="28"/>
          <w:lang w:val="vi-VN"/>
        </w:rPr>
        <w:t xml:space="preserve"> tỉnh </w:t>
      </w:r>
      <w:r>
        <w:rPr>
          <w:rFonts w:cs="Times New Roman"/>
          <w:spacing w:val="-2"/>
          <w:szCs w:val="28"/>
          <w:lang w:val="hsb-DE"/>
        </w:rPr>
        <w:t xml:space="preserve">hiện nay </w:t>
      </w:r>
      <w:r>
        <w:rPr>
          <w:rFonts w:cs="Times New Roman"/>
          <w:spacing w:val="-2"/>
          <w:szCs w:val="28"/>
          <w:lang w:val="vi-VN"/>
        </w:rPr>
        <w:t>có 1</w:t>
      </w:r>
      <w:r>
        <w:rPr>
          <w:rFonts w:cs="Times New Roman"/>
          <w:spacing w:val="-2"/>
          <w:szCs w:val="28"/>
          <w:lang w:val="hsb-DE"/>
        </w:rPr>
        <w:t>3</w:t>
      </w:r>
      <w:r>
        <w:rPr>
          <w:rFonts w:cs="Times New Roman"/>
          <w:spacing w:val="-2"/>
          <w:szCs w:val="28"/>
          <w:lang w:val="vi-VN"/>
        </w:rPr>
        <w:t xml:space="preserve"> khu xử lý </w:t>
      </w:r>
      <w:r>
        <w:rPr>
          <w:rFonts w:cs="Times New Roman"/>
          <w:spacing w:val="-2"/>
          <w:szCs w:val="28"/>
          <w:lang w:val="hsb-DE"/>
        </w:rPr>
        <w:t>CTR</w:t>
      </w:r>
      <w:r>
        <w:rPr>
          <w:rFonts w:cs="Times New Roman"/>
          <w:spacing w:val="-2"/>
          <w:szCs w:val="28"/>
          <w:lang w:val="vi-VN"/>
        </w:rPr>
        <w:t xml:space="preserve"> sinh hoạt đang hoạt động với 3 loại hình công nghệ (3 nhà máy, 4 bãi chôn lấp và </w:t>
      </w:r>
      <w:r>
        <w:rPr>
          <w:rFonts w:cs="Times New Roman"/>
          <w:spacing w:val="-2"/>
          <w:szCs w:val="28"/>
          <w:lang w:val="hsb-DE"/>
        </w:rPr>
        <w:t>6</w:t>
      </w:r>
      <w:r>
        <w:rPr>
          <w:rFonts w:cs="Times New Roman"/>
          <w:spacing w:val="-2"/>
          <w:szCs w:val="28"/>
          <w:lang w:val="vi-VN"/>
        </w:rPr>
        <w:t xml:space="preserve"> lò đốt độc lập)</w:t>
      </w:r>
      <w:r>
        <w:rPr>
          <w:rFonts w:cs="Times New Roman"/>
          <w:spacing w:val="-2"/>
          <w:szCs w:val="28"/>
          <w:lang w:val="hsb-DE"/>
        </w:rPr>
        <w:t xml:space="preserve">; </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pacing w:val="-2"/>
          <w:szCs w:val="28"/>
          <w:lang w:val="hsb-DE"/>
        </w:rPr>
        <w:t xml:space="preserve">- Về xử lý nước thải sinh hoạt: Có </w:t>
      </w:r>
      <w:r>
        <w:rPr>
          <w:rFonts w:cs="Times New Roman"/>
          <w:spacing w:val="-6"/>
          <w:szCs w:val="28"/>
          <w:lang w:val="vi-VN"/>
        </w:rPr>
        <w:t xml:space="preserve">17 mô hình xử lý nước thải sinh hoạt tập trung tại 09 địa phương (Đức Thọ, Can Lộc, Lộc Hà, Cẩm Xuyên, Kỳ Anh, Nghi Xuân, Thạch Hà, thị xã Kỳ Anh và thị xã Hồng Lĩnh) và tại 13/13 huyện, thị xã, thành phố đã </w:t>
      </w:r>
      <w:r>
        <w:rPr>
          <w:rFonts w:eastAsia="Times New Roman" w:cs="Times New Roman"/>
          <w:spacing w:val="-2"/>
          <w:szCs w:val="28"/>
          <w:lang w:val="nl-NL"/>
        </w:rPr>
        <w:t>triển khai xây dựng mô hình thu gom xử lý nước thải tại hộ gia đình đạt tỷ lệ 26,7%</w:t>
      </w:r>
      <w:r>
        <w:rPr>
          <w:rFonts w:cs="Times New Roman"/>
          <w:b/>
          <w:spacing w:val="-6"/>
          <w:szCs w:val="28"/>
          <w:lang w:val="hsb-DE"/>
        </w:rPr>
        <w:t xml:space="preserve"> </w:t>
      </w:r>
      <w:r>
        <w:rPr>
          <w:rFonts w:cs="Times New Roman"/>
          <w:b/>
          <w:i/>
          <w:spacing w:val="-6"/>
          <w:szCs w:val="28"/>
          <w:lang w:val="hsb-DE"/>
        </w:rPr>
        <w:t>(</w:t>
      </w:r>
      <w:r>
        <w:rPr>
          <w:rFonts w:cs="Times New Roman"/>
          <w:i/>
          <w:spacing w:val="-6"/>
          <w:szCs w:val="28"/>
          <w:lang w:val="vi-VN"/>
        </w:rPr>
        <w:t>99.600 hộ/372.000 hộ dân cư nông thôn</w:t>
      </w:r>
      <w:r>
        <w:rPr>
          <w:rFonts w:cs="Times New Roman"/>
          <w:i/>
          <w:spacing w:val="-6"/>
          <w:szCs w:val="28"/>
          <w:lang w:val="hsb-DE"/>
        </w:rPr>
        <w:t>).</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es-ES_tradnl"/>
        </w:rPr>
      </w:pPr>
      <w:r>
        <w:rPr>
          <w:rStyle w:val="fontstyle01"/>
          <w:rFonts w:cs="Times New Roman"/>
          <w:i/>
          <w:color w:val="auto"/>
          <w:sz w:val="27"/>
          <w:szCs w:val="27"/>
          <w:lang w:val="nl-NL"/>
        </w:rPr>
        <w:t>4.3.</w:t>
      </w:r>
      <w:r>
        <w:rPr>
          <w:i/>
          <w:szCs w:val="28"/>
          <w:lang w:val="vi-VN"/>
        </w:rPr>
        <w:t xml:space="preserve"> Chương trình phát triển du lịch nông thôn</w:t>
      </w:r>
      <w:r>
        <w:rPr>
          <w:i/>
          <w:szCs w:val="28"/>
          <w:lang w:val="hsb-DE"/>
        </w:rPr>
        <w:t xml:space="preserve">: </w:t>
      </w:r>
      <w:r>
        <w:rPr>
          <w:rFonts w:cs="Times New Roman"/>
          <w:szCs w:val="28"/>
          <w:lang w:val="nl-NL"/>
        </w:rPr>
        <w:t>Đến nay có 3</w:t>
      </w:r>
      <w:r>
        <w:rPr>
          <w:rFonts w:cs="Times New Roman"/>
          <w:szCs w:val="28"/>
          <w:lang w:val="vi-VN"/>
        </w:rPr>
        <w:t xml:space="preserve"> mô hình đã phê duyệt đề án thực hiện</w:t>
      </w:r>
      <w:r>
        <w:rPr>
          <w:rFonts w:cs="Times New Roman"/>
          <w:szCs w:val="28"/>
          <w:lang w:val="nl-NL"/>
        </w:rPr>
        <w:t xml:space="preserve"> (</w:t>
      </w:r>
      <w:r>
        <w:rPr>
          <w:rFonts w:cs="Times New Roman"/>
          <w:i/>
          <w:szCs w:val="28"/>
          <w:lang w:val="vi-VN"/>
        </w:rPr>
        <w:t xml:space="preserve">gồm: Mô hình </w:t>
      </w:r>
      <w:r>
        <w:rPr>
          <w:rFonts w:cs="Times New Roman"/>
          <w:i/>
          <w:szCs w:val="28"/>
          <w:lang w:val="nl-NL"/>
        </w:rPr>
        <w:t xml:space="preserve">phát triển chuỗi du lịch nông nghiệp, </w:t>
      </w:r>
      <w:r>
        <w:rPr>
          <w:rFonts w:cs="Times New Roman"/>
          <w:i/>
          <w:szCs w:val="28"/>
          <w:lang w:val="nl-NL"/>
        </w:rPr>
        <w:lastRenderedPageBreak/>
        <w:t xml:space="preserve">nông thôn liên kết các điểm đến, hình thành các tour du lịch gắn với sản xuất nông nghiệp, làng nghề, bảo tồn, phát huy các giá trị văn hóa và bảo vệ môi trường Xã Sơn Kim 2, huyện Hương Sơn; 02 mô hình du lịch cộng đồng của tỉnh theo hướng du lịch xanh, có trách nhiệm và bền vững tại Thôn Hoa Thị, Xã Thọ Điền, huyện Vũ Quang và Bản Phú Lâm, Xã Phú Gia, huyện Hương </w:t>
      </w:r>
      <w:r>
        <w:rPr>
          <w:rFonts w:cs="Times New Roman"/>
          <w:i/>
          <w:szCs w:val="28"/>
          <w:lang w:val="vi-VN"/>
        </w:rPr>
        <w:t>Khê</w:t>
      </w:r>
      <w:r>
        <w:rPr>
          <w:rFonts w:cs="Times New Roman"/>
          <w:i/>
          <w:szCs w:val="28"/>
          <w:lang w:val="nl-NL"/>
        </w:rPr>
        <w:t xml:space="preserve">); </w:t>
      </w:r>
      <w:r>
        <w:rPr>
          <w:rFonts w:cs="Times New Roman"/>
          <w:szCs w:val="28"/>
          <w:lang w:val="nl-NL"/>
        </w:rPr>
        <w:t xml:space="preserve">01 mô hình đang trong quá trình hoàn thiện để phê duyệt </w:t>
      </w:r>
      <w:r>
        <w:rPr>
          <w:rFonts w:cs="Times New Roman"/>
          <w:i/>
          <w:szCs w:val="28"/>
          <w:lang w:val="nl-NL"/>
        </w:rPr>
        <w:t>(</w:t>
      </w:r>
      <w:r>
        <w:rPr>
          <w:rFonts w:cs="Times New Roman"/>
          <w:i/>
          <w:szCs w:val="28"/>
          <w:lang w:val="vi-VN"/>
        </w:rPr>
        <w:t>M</w:t>
      </w:r>
      <w:r>
        <w:rPr>
          <w:rFonts w:cs="Times New Roman"/>
          <w:i/>
          <w:szCs w:val="28"/>
          <w:lang w:val="nl-NL"/>
        </w:rPr>
        <w:t>ô hình du lịch nông thôn theo hướng du lịch xanh, có trách nhiệm và bền vững tại xã Đồng Môn, Thành phố Hà Tĩnh)</w:t>
      </w:r>
      <w:r>
        <w:rPr>
          <w:rFonts w:cs="Times New Roman"/>
          <w:szCs w:val="28"/>
          <w:lang w:val="vi-VN"/>
        </w:rPr>
        <w:t>...</w:t>
      </w:r>
      <w:r>
        <w:rPr>
          <w:rFonts w:cs="Times New Roman"/>
          <w:szCs w:val="28"/>
          <w:lang w:val="hsb-DE"/>
        </w:rPr>
        <w:t xml:space="preserve"> </w:t>
      </w:r>
      <w:r>
        <w:rPr>
          <w:rFonts w:cs="Times New Roman"/>
          <w:szCs w:val="28"/>
          <w:lang w:val="nl-NL"/>
        </w:rPr>
        <w:t>Hiện nay, các địa phương: Hương Sơn, Hương Khê, Vũ Quang và Thành phố Hà Tĩnh đã dự toán xây dựng mô hình và đang triển khai thực hiện các nội dung triển khai mô hình, từng bước hình thành điểm đến đón khách du lịch đến tham quan, trải nghiệm.</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es-ES_tradnl"/>
        </w:rPr>
      </w:pPr>
      <w:r>
        <w:rPr>
          <w:i/>
          <w:szCs w:val="28"/>
          <w:lang w:val="nl-NL"/>
        </w:rPr>
        <w:t xml:space="preserve">4.4 </w:t>
      </w:r>
      <w:r>
        <w:rPr>
          <w:i/>
          <w:szCs w:val="28"/>
          <w:lang w:val="hsb-DE"/>
        </w:rPr>
        <w:t xml:space="preserve">Chương trình </w:t>
      </w:r>
      <w:r>
        <w:rPr>
          <w:i/>
          <w:szCs w:val="28"/>
          <w:lang w:val="vi-VN"/>
        </w:rPr>
        <w:t>chuyển đổi số trong xây dựng NTM, hướng tới NTM thông minh giai đoạn 2021-202</w:t>
      </w:r>
      <w:r>
        <w:rPr>
          <w:i/>
          <w:szCs w:val="28"/>
          <w:lang w:val="sq-AL"/>
        </w:rPr>
        <w:t xml:space="preserve">5: </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zCs w:val="28"/>
          <w:lang w:val="sq-AL"/>
        </w:rPr>
        <w:t>Các địa phương</w:t>
      </w:r>
      <w:r>
        <w:rPr>
          <w:szCs w:val="28"/>
          <w:lang w:val="sq-AL"/>
        </w:rPr>
        <w:t xml:space="preserve"> </w:t>
      </w:r>
      <w:r>
        <w:rPr>
          <w:rFonts w:cs="Times New Roman"/>
          <w:szCs w:val="28"/>
          <w:lang w:val="sq-AL"/>
        </w:rPr>
        <w:t>đang triển khai xây dựng 28 mô hình thôn thông minh và 15 mô hình xã thông</w:t>
      </w:r>
      <w:r>
        <w:rPr>
          <w:szCs w:val="28"/>
          <w:lang w:val="sq-AL"/>
        </w:rPr>
        <w:t xml:space="preserve"> </w:t>
      </w:r>
      <w:r>
        <w:rPr>
          <w:rFonts w:cs="Times New Roman"/>
          <w:szCs w:val="28"/>
          <w:lang w:val="sq-AL"/>
        </w:rPr>
        <w:t>minh, trong đó có 12 thôn tại 12 xã đạt chuẩn NTM kiểu mẫu đã được Sở</w:t>
      </w:r>
      <w:r>
        <w:rPr>
          <w:szCs w:val="28"/>
          <w:lang w:val="sq-AL"/>
        </w:rPr>
        <w:t xml:space="preserve"> </w:t>
      </w:r>
      <w:r>
        <w:rPr>
          <w:rFonts w:cs="Times New Roman"/>
          <w:szCs w:val="28"/>
          <w:lang w:val="sq-AL"/>
        </w:rPr>
        <w:t>Thông tin và Truyền thông thẩm định đạt chuẩn thôn thông minh</w:t>
      </w:r>
      <w:r>
        <w:rPr>
          <w:lang w:val="sq-AL"/>
        </w:rPr>
        <w:t>.</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es-ES_tradnl"/>
        </w:rPr>
      </w:pPr>
      <w:r>
        <w:rPr>
          <w:i/>
          <w:szCs w:val="28"/>
          <w:lang w:val="sq-AL"/>
        </w:rPr>
        <w:t>Đối với mô hình thí điểm "xã thương mại điện tử Kỳ Phú</w:t>
      </w:r>
      <w:r>
        <w:rPr>
          <w:szCs w:val="28"/>
          <w:lang w:val="sq-AL"/>
        </w:rPr>
        <w:t>": UBND tỉnh đã thành lập Hội đồng thẩm định mô hình; hiện nay UBND huyện Kỳ Anh đang chỉ đạo hoàn thiện lại bản đề xuất mô hình, dự kiến trình UBND tỉnh thẩm định, phê duyệt trong tháng 3/2025.</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es-ES_tradnl"/>
        </w:rPr>
      </w:pPr>
      <w:r>
        <w:rPr>
          <w:i/>
          <w:szCs w:val="28"/>
          <w:lang w:val="sq-AL"/>
        </w:rPr>
        <w:t xml:space="preserve">4.5. </w:t>
      </w:r>
      <w:r>
        <w:rPr>
          <w:i/>
          <w:szCs w:val="28"/>
          <w:lang w:val="nl-NL"/>
        </w:rPr>
        <w:t xml:space="preserve">Chương trình nâng cao chất lượng, hiệu quả thực hiện tiêu chí an ninh, trật tự trong xây dựng nông thôn mới giai đoạn 2021 – 2025: </w:t>
      </w:r>
      <w:r>
        <w:rPr>
          <w:szCs w:val="28"/>
          <w:lang w:val="nl-NL"/>
        </w:rPr>
        <w:t>Công an tỉnh phát động sâu rộng p</w:t>
      </w:r>
      <w:r>
        <w:rPr>
          <w:szCs w:val="28"/>
          <w:lang w:val="vi-VN"/>
        </w:rPr>
        <w:t xml:space="preserve">hong trào toàn dân bảo vệ </w:t>
      </w:r>
      <w:r>
        <w:rPr>
          <w:szCs w:val="28"/>
          <w:lang w:val="nl-NL"/>
        </w:rPr>
        <w:t>an ninh Tổ quốc</w:t>
      </w:r>
      <w:r>
        <w:rPr>
          <w:szCs w:val="28"/>
          <w:lang w:val="vi-VN"/>
        </w:rPr>
        <w:t>, gắn liền với các phong trào cách mạng khác, như: Phong trào “Toàn dân đ</w:t>
      </w:r>
      <w:r>
        <w:rPr>
          <w:szCs w:val="28"/>
          <w:lang w:val="nl-NL"/>
        </w:rPr>
        <w:t>oàn</w:t>
      </w:r>
      <w:r>
        <w:rPr>
          <w:szCs w:val="28"/>
          <w:lang w:val="vi-VN"/>
        </w:rPr>
        <w:t xml:space="preserve"> kết xây dựng NTM, đô thị văn minh”, “Cả tỉnh chung sức xây dựng NTM”, “Toàn dân đoàn kết xây dựng đời sống văn hóa ở khu dân cư”…; xây dựng mới, củng cố, nhân rộng 47 loại mô hình tổ chức quần chúng tự quản về ANTT ở cơ sở, tiêu biểu như:</w:t>
      </w:r>
      <w:r>
        <w:rPr>
          <w:lang w:val="vi-VN"/>
        </w:rPr>
        <w:t xml:space="preserve"> </w:t>
      </w:r>
      <w:r>
        <w:rPr>
          <w:szCs w:val="28"/>
          <w:lang w:val="vi-VN"/>
        </w:rPr>
        <w:t>Mô hình “Camera an ninh”, “Khu dân cư bình yên, chung sức xây dựng NTM”, “Khu dân cư an toàn về phòng cháy và chữa cháy”, “Tổ liên gia tự quản về ANTT”, “Tổ công nhân vì môi trường xanh - Tự quản về ANTT”, “Zalo kết nối bình yên”...Tổ chức 28 đợt kiểm tra, hướng dẫn việc triển khai, thực hiện tiêu chí ANTT trong xây dựng NTM, đô thị văn minh,</w:t>
      </w:r>
      <w:r>
        <w:rPr>
          <w:spacing w:val="-6"/>
          <w:szCs w:val="28"/>
          <w:lang w:val="vi-VN"/>
        </w:rPr>
        <w:t xml:space="preserve"> </w:t>
      </w:r>
      <w:r>
        <w:rPr>
          <w:spacing w:val="-2"/>
          <w:szCs w:val="28"/>
          <w:lang w:val="vi-VN"/>
        </w:rPr>
        <w:t xml:space="preserve">đến nay, có </w:t>
      </w:r>
      <w:r>
        <w:rPr>
          <w:spacing w:val="-2"/>
          <w:szCs w:val="28"/>
          <w:lang w:val="nl-NL"/>
        </w:rPr>
        <w:t>9/9</w:t>
      </w:r>
      <w:r>
        <w:rPr>
          <w:spacing w:val="-2"/>
          <w:szCs w:val="28"/>
          <w:lang w:val="vi-VN"/>
        </w:rPr>
        <w:t xml:space="preserve"> huyện đạt tiêu chí ANTT huyện NTM; thành phố Hà Tĩnh, thị xã Hồng Lĩnh, thị xã Kỳ Anh đạt tiêu chí ANTT trong quy định thành phố, thị xã hoàn thành nhiệm vụ xây dựng NTM; </w:t>
      </w:r>
      <w:r>
        <w:rPr>
          <w:spacing w:val="-2"/>
          <w:szCs w:val="28"/>
          <w:lang w:val="nl-NL"/>
        </w:rPr>
        <w:t>169/169</w:t>
      </w:r>
      <w:r>
        <w:rPr>
          <w:spacing w:val="-2"/>
          <w:szCs w:val="28"/>
          <w:lang w:val="vi-VN"/>
        </w:rPr>
        <w:t xml:space="preserve"> xã đạt tiêu chí ANTT xã NTM, trong đó: 6</w:t>
      </w:r>
      <w:r>
        <w:rPr>
          <w:spacing w:val="-2"/>
          <w:szCs w:val="28"/>
          <w:lang w:val="nl-NL"/>
        </w:rPr>
        <w:t xml:space="preserve">9 </w:t>
      </w:r>
      <w:r>
        <w:rPr>
          <w:spacing w:val="-2"/>
          <w:szCs w:val="28"/>
          <w:lang w:val="vi-VN"/>
        </w:rPr>
        <w:t>xã đạt tiêu chí ANTT xã NTM nâng cao, 1</w:t>
      </w:r>
      <w:r>
        <w:rPr>
          <w:spacing w:val="-2"/>
          <w:szCs w:val="28"/>
          <w:lang w:val="nl-NL"/>
        </w:rPr>
        <w:t>8</w:t>
      </w:r>
      <w:r>
        <w:rPr>
          <w:spacing w:val="-2"/>
          <w:szCs w:val="28"/>
          <w:lang w:val="vi-VN"/>
        </w:rPr>
        <w:t xml:space="preserve"> xã đạt tiêu chí ANTT xã NTM kiểu mẫu.</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es-ES_tradnl"/>
        </w:rPr>
      </w:pPr>
      <w:r>
        <w:rPr>
          <w:i/>
          <w:spacing w:val="-2"/>
          <w:szCs w:val="28"/>
          <w:lang w:val="nl-NL"/>
        </w:rPr>
        <w:t xml:space="preserve">4.6. </w:t>
      </w:r>
      <w:r>
        <w:rPr>
          <w:rFonts w:cs="Times New Roman"/>
          <w:bCs/>
          <w:i/>
          <w:szCs w:val="28"/>
          <w:lang w:val="nl-NL"/>
        </w:rPr>
        <w:t>Chương trình khoa học và công nghệ phục vụ xây dựng nông thôn</w:t>
      </w:r>
      <w:r>
        <w:rPr>
          <w:bCs/>
          <w:i/>
          <w:szCs w:val="28"/>
          <w:lang w:val="nl-NL"/>
        </w:rPr>
        <w:br/>
      </w:r>
      <w:r>
        <w:rPr>
          <w:rFonts w:cs="Times New Roman"/>
          <w:bCs/>
          <w:i/>
          <w:szCs w:val="28"/>
          <w:lang w:val="nl-NL"/>
        </w:rPr>
        <w:t>mới giai đoạn 2021-2025</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sq-AL"/>
        </w:rPr>
      </w:pPr>
      <w:r>
        <w:rPr>
          <w:rFonts w:ascii="TimesNewRomanPSMT" w:hAnsi="TimesNewRomanPSMT"/>
          <w:color w:val="000000"/>
          <w:szCs w:val="28"/>
          <w:lang w:val="sq-AL"/>
        </w:rPr>
        <w:t xml:space="preserve">Tiếp tục quản lý 02 nhiệm vụ thuộc Chương trình Quỹ gen quốc gia; 03 dự án thuộc Chương trình hỗ trợ ứng dụng, chuyển giao tiến bộ KH và CN thúc đẩy phát triển kinh tế - xã hội nông thôn, miền núi, vùng dân tộc thiểu số; 01 dự án cấp Bộ phát triển chỉ dẫn địa lý cho sản phẩm Nhung hươu Hương Sơn; 01 dự án hợp tác quốc tế với nước bạn Lào; 38 nhiệm vụ KH và CN cấp tỉnh chuyển tiếp và triển khai mới; nhiều quy trình, công nghệ mới, tiên tiến được nghiên cứu ứng dụng và </w:t>
      </w:r>
      <w:r>
        <w:rPr>
          <w:rFonts w:ascii="TimesNewRomanPSMT" w:hAnsi="TimesNewRomanPSMT"/>
          <w:color w:val="000000"/>
          <w:szCs w:val="28"/>
          <w:lang w:val="sq-AL"/>
        </w:rPr>
        <w:lastRenderedPageBreak/>
        <w:t>chuyển giao, góp phần xây dựng và phát triển kinh tế - xã hội ở địa phương</w:t>
      </w:r>
      <w:r>
        <w:rPr>
          <w:lang w:val="sq-AL"/>
        </w:rPr>
        <w:t xml:space="preserve">; </w:t>
      </w:r>
      <w:r>
        <w:rPr>
          <w:rFonts w:ascii="TimesNewRomanPSMT" w:hAnsi="TimesNewRomanPSMT"/>
          <w:color w:val="000000"/>
          <w:szCs w:val="28"/>
          <w:lang w:val="sq-AL"/>
        </w:rPr>
        <w:t>nhiều mô hình ứng dụng thành công các tiến bộ khoa học công nghệ,</w:t>
      </w:r>
      <w:r>
        <w:rPr>
          <w:rFonts w:ascii="TimesNewRomanPSMT" w:hAnsi="TimesNewRomanPSMT"/>
          <w:color w:val="000000"/>
          <w:szCs w:val="28"/>
          <w:lang w:val="sq-AL"/>
        </w:rPr>
        <w:br/>
        <w:t>nâng cao hiệu quả sản xuất như: Ứng dụng khoa học công nghệ xây dựng mô</w:t>
      </w:r>
      <w:r>
        <w:rPr>
          <w:rFonts w:ascii="TimesNewRomanPSMT" w:hAnsi="TimesNewRomanPSMT"/>
          <w:color w:val="000000"/>
          <w:szCs w:val="28"/>
          <w:lang w:val="sq-AL"/>
        </w:rPr>
        <w:br/>
        <w:t>hình trồng thử nghiệm cây sâm bố chính; mô hình ứng dụng tiến bộ KH và CN</w:t>
      </w:r>
      <w:r>
        <w:rPr>
          <w:rFonts w:ascii="TimesNewRomanPSMT" w:hAnsi="TimesNewRomanPSMT"/>
          <w:color w:val="000000"/>
          <w:szCs w:val="28"/>
          <w:lang w:val="sq-AL"/>
        </w:rPr>
        <w:br/>
        <w:t>sản xuất hoa lan hồ điệp; ứng dụng khoa học kỹ thuật phát triển vùng nuôi rươi</w:t>
      </w:r>
      <w:r>
        <w:rPr>
          <w:rFonts w:ascii="TimesNewRomanPSMT" w:hAnsi="TimesNewRomanPSMT"/>
          <w:color w:val="000000"/>
          <w:szCs w:val="28"/>
          <w:lang w:val="sq-AL"/>
        </w:rPr>
        <w:br/>
        <w:t>kết hợp trồng lúa hữu cơ tăng hiệu quả kinh tế lên 158%; phát triển cây Mai</w:t>
      </w:r>
      <w:r>
        <w:rPr>
          <w:rFonts w:ascii="TimesNewRomanPSMT" w:hAnsi="TimesNewRomanPSMT"/>
          <w:color w:val="000000"/>
          <w:szCs w:val="28"/>
          <w:lang w:val="sq-AL"/>
        </w:rPr>
        <w:br/>
        <w:t>vàng tại thị xã Kỳ Anh theo hướng sản xuất hàng hóa,..</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
          <w:spacing w:val="-4"/>
          <w:szCs w:val="28"/>
          <w:lang w:val="nl-NL"/>
        </w:rPr>
        <w:t>5. Kết quả về xây dựng đô thị văn minh</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zCs w:val="28"/>
          <w:lang w:val="vi-VN"/>
        </w:rPr>
        <w:t xml:space="preserve">Công tác xây dựng đô thị văn minh được </w:t>
      </w:r>
      <w:r>
        <w:rPr>
          <w:rFonts w:cs="Times New Roman"/>
          <w:szCs w:val="28"/>
          <w:lang w:val="sq-AL"/>
        </w:rPr>
        <w:t xml:space="preserve">quan tâm, triển khai thực hiện, </w:t>
      </w:r>
      <w:r>
        <w:rPr>
          <w:rFonts w:cs="Times New Roman"/>
          <w:szCs w:val="28"/>
          <w:lang w:val="vi-VN"/>
        </w:rPr>
        <w:t xml:space="preserve">đến nay </w:t>
      </w:r>
      <w:r>
        <w:rPr>
          <w:rFonts w:cs="Times New Roman"/>
          <w:szCs w:val="28"/>
          <w:lang w:val="es-ES_tradnl"/>
        </w:rPr>
        <w:t xml:space="preserve">có </w:t>
      </w:r>
      <w:r>
        <w:rPr>
          <w:rFonts w:cs="Times New Roman"/>
          <w:szCs w:val="28"/>
          <w:lang w:val="sq-AL"/>
        </w:rPr>
        <w:t xml:space="preserve">23/39 </w:t>
      </w:r>
      <w:r>
        <w:rPr>
          <w:rFonts w:cs="Times New Roman"/>
          <w:szCs w:val="28"/>
          <w:lang w:val="es-ES_tradnl"/>
        </w:rPr>
        <w:t>phường,</w:t>
      </w:r>
      <w:r>
        <w:rPr>
          <w:rFonts w:cs="Times New Roman"/>
          <w:szCs w:val="28"/>
          <w:lang w:val="vi-VN"/>
        </w:rPr>
        <w:t xml:space="preserve"> thị trấn được công nhận đạt chuẩn đô thị văn minh</w:t>
      </w:r>
      <w:r>
        <w:rPr>
          <w:rFonts w:cs="Times New Roman"/>
          <w:szCs w:val="28"/>
          <w:lang w:val="sq-AL"/>
        </w:rPr>
        <w:t>.</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
          <w:spacing w:val="-4"/>
          <w:szCs w:val="28"/>
          <w:lang w:val="nl-NL"/>
        </w:rPr>
        <w:t>6. Một số nội dung  khác:</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lang w:val="pt-BR"/>
        </w:rPr>
      </w:pPr>
      <w:r>
        <w:rPr>
          <w:bCs/>
          <w:i/>
          <w:szCs w:val="28"/>
          <w:lang w:val="nl-NL"/>
        </w:rPr>
        <w:t>6</w:t>
      </w:r>
      <w:r>
        <w:rPr>
          <w:rFonts w:cs="Times New Roman"/>
          <w:i/>
          <w:spacing w:val="-4"/>
          <w:szCs w:val="28"/>
          <w:lang w:val="nl-NL"/>
        </w:rPr>
        <w:t xml:space="preserve">.1. Công tác đỡ đầu, tài trợ: </w:t>
      </w:r>
      <w:r>
        <w:rPr>
          <w:rFonts w:cs="Times New Roman"/>
          <w:bCs/>
          <w:iCs/>
          <w:szCs w:val="28"/>
          <w:lang w:val="pt-BR"/>
        </w:rPr>
        <w:t>Tổng kinh phí huy động, đỡ đầu, tài trợ xây dựng nông thôn mới năm 2024 là 46,372 tỷ đồng, trong đó: các tổ chức đơn vị được UBND tỉnh chấp thuận, giao đỡ đầu, tài trợ 388 triệu đồng; cấp huyện kêu gọi là 45,985 tỷ đồng, tiêu biểu như: Can Lộc 13,650 tỷ đồng, Đức Thọ 12,243 tỷ đồng, Hương Khê 5,671 tỷ đồng, Hương Sơn 5,334 tỷ đồng, Nghi Xuân 3,385 tỷ đồng, Thạch Hà 1,696 tỷ đồng,...</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rStyle w:val="Emphasis"/>
          <w:i w:val="0"/>
          <w:iCs w:val="0"/>
          <w:lang w:val="es-ES_tradnl"/>
        </w:rPr>
      </w:pPr>
      <w:r>
        <w:rPr>
          <w:rFonts w:cs="Times New Roman"/>
          <w:bCs/>
          <w:i/>
          <w:iCs/>
          <w:szCs w:val="28"/>
          <w:lang w:val="pt-BR"/>
        </w:rPr>
        <w:t>6.</w:t>
      </w:r>
      <w:r>
        <w:rPr>
          <w:rFonts w:cs="Times New Roman"/>
          <w:i/>
          <w:spacing w:val="-4"/>
          <w:szCs w:val="28"/>
          <w:lang w:val="nl-NL"/>
        </w:rPr>
        <w:t xml:space="preserve">2. </w:t>
      </w:r>
      <w:r>
        <w:rPr>
          <w:rFonts w:eastAsia="Times New Roman" w:cs="Times New Roman"/>
          <w:i/>
          <w:szCs w:val="28"/>
          <w:lang w:val="da-DK"/>
        </w:rPr>
        <w:t>Kết quả tham gia của Mặt trận tổ quốc tỉnh và các tổ chức đoàn thể</w:t>
      </w:r>
      <w:r>
        <w:rPr>
          <w:rFonts w:cs="Times New Roman"/>
          <w:bCs/>
          <w:i/>
          <w:iCs/>
          <w:szCs w:val="28"/>
          <w:lang w:val="pt-BR"/>
        </w:rPr>
        <w:t xml:space="preserve"> chính trị xã hội cấp tỉnh</w:t>
      </w:r>
      <w:r>
        <w:rPr>
          <w:rFonts w:cs="Times New Roman"/>
          <w:bCs/>
          <w:iCs/>
          <w:szCs w:val="28"/>
          <w:lang w:val="pt-BR"/>
        </w:rPr>
        <w:t xml:space="preserve">: Ủy ban MTTQ tỉnh và các tổ chức đoàn thể chính trị xã hội cấp tỉnh đã tập trung phối hợp triển khai đồng bộ các nội dung Cuộc vận động </w:t>
      </w:r>
      <w:r>
        <w:rPr>
          <w:rFonts w:cs="Times New Roman"/>
          <w:bCs/>
          <w:i/>
          <w:iCs/>
          <w:szCs w:val="28"/>
          <w:lang w:val="pt-BR"/>
        </w:rPr>
        <w:t xml:space="preserve">“Toàn dân đoàn kết xây dựng NTM, đô thị văn minh” </w:t>
      </w:r>
      <w:r>
        <w:rPr>
          <w:rFonts w:cs="Times New Roman"/>
          <w:szCs w:val="28"/>
          <w:lang w:val="pt-BR"/>
        </w:rPr>
        <w:t>gắn với nhiệm vụ trọng tâm của tỉnh, của địa phương và các phong trào thi đua yêu nước</w:t>
      </w:r>
      <w:r>
        <w:rPr>
          <w:rStyle w:val="Emphasis"/>
          <w:rFonts w:cs="Times New Roman"/>
          <w:bCs/>
          <w:szCs w:val="28"/>
          <w:shd w:val="clear" w:color="auto" w:fill="FFFFFF"/>
          <w:lang w:val="da-DK"/>
        </w:rPr>
        <w:t xml:space="preserve">, </w:t>
      </w:r>
      <w:r>
        <w:rPr>
          <w:rStyle w:val="Emphasis"/>
          <w:rFonts w:cs="Times New Roman"/>
          <w:bCs/>
          <w:i w:val="0"/>
          <w:szCs w:val="28"/>
          <w:shd w:val="clear" w:color="auto" w:fill="FFFFFF"/>
          <w:lang w:val="da-DK"/>
        </w:rPr>
        <w:t>trong đó có nhiều hoạt động mang lại hiệu quả khá tích cực, cụ thể:</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jc w:val="both"/>
        <w:rPr>
          <w:i/>
          <w:szCs w:val="28"/>
          <w:lang w:val="pt-BR"/>
        </w:rPr>
      </w:pPr>
      <w:r>
        <w:rPr>
          <w:rStyle w:val="Emphasis"/>
          <w:iCs w:val="0"/>
          <w:szCs w:val="28"/>
          <w:lang w:val="pt-BR"/>
        </w:rPr>
        <w:tab/>
      </w:r>
      <w:r>
        <w:rPr>
          <w:rStyle w:val="Emphasis"/>
          <w:rFonts w:cs="Times New Roman"/>
          <w:bCs/>
          <w:szCs w:val="28"/>
          <w:shd w:val="clear" w:color="auto" w:fill="FFFFFF"/>
          <w:lang w:val="da-DK"/>
        </w:rPr>
        <w:t>a) Ủy ban MTTQ tỉnh</w:t>
      </w:r>
      <w:r>
        <w:rPr>
          <w:rStyle w:val="Emphasis"/>
          <w:rFonts w:cs="Times New Roman"/>
          <w:bCs/>
          <w:i w:val="0"/>
          <w:szCs w:val="28"/>
          <w:shd w:val="clear" w:color="auto" w:fill="FFFFFF"/>
          <w:lang w:val="da-DK"/>
        </w:rPr>
        <w:t xml:space="preserve">: </w:t>
      </w:r>
      <w:r>
        <w:rPr>
          <w:rStyle w:val="Emphasis"/>
          <w:bCs/>
          <w:i w:val="0"/>
          <w:iCs w:val="0"/>
          <w:szCs w:val="28"/>
          <w:shd w:val="clear" w:color="auto" w:fill="FFFFFF"/>
          <w:lang w:val="es-MX"/>
        </w:rPr>
        <w:t>MTTQ các cấp tỉnh Hà Tĩnh đã p</w:t>
      </w:r>
      <w:r>
        <w:rPr>
          <w:szCs w:val="28"/>
          <w:lang w:val="es-ES_tradnl"/>
        </w:rPr>
        <w:t xml:space="preserve">hối hợp với các tổ chức thành viên xây dựng hàng ngàn công trình, phần việc </w:t>
      </w:r>
      <w:r>
        <w:rPr>
          <w:szCs w:val="28"/>
          <w:lang w:val="es-MX"/>
        </w:rPr>
        <w:t>có ý nghĩa</w:t>
      </w:r>
      <w:r>
        <w:rPr>
          <w:rStyle w:val="FootnoteReference"/>
          <w:szCs w:val="28"/>
        </w:rPr>
        <w:footnoteReference w:id="20"/>
      </w:r>
      <w:r>
        <w:rPr>
          <w:szCs w:val="28"/>
          <w:lang w:val="es-MX"/>
        </w:rPr>
        <w:t xml:space="preserve">; phối hợp </w:t>
      </w:r>
      <w:r>
        <w:rPr>
          <w:szCs w:val="28"/>
          <w:lang w:val="sq-AL"/>
        </w:rPr>
        <w:t>vận động Nhân dân hiến 169.709</w:t>
      </w:r>
      <w:r>
        <w:rPr>
          <w:szCs w:val="28"/>
          <w:lang w:val="es-MX" w:eastAsia="en-GB"/>
        </w:rPr>
        <w:t>m</w:t>
      </w:r>
      <w:r>
        <w:rPr>
          <w:szCs w:val="28"/>
          <w:vertAlign w:val="superscript"/>
          <w:lang w:val="es-MX" w:eastAsia="en-GB"/>
        </w:rPr>
        <w:t>2</w:t>
      </w:r>
      <w:r>
        <w:rPr>
          <w:szCs w:val="28"/>
          <w:lang w:val="es-MX"/>
        </w:rPr>
        <w:t xml:space="preserve"> đất, 50.639m tường rào và công trình trên đất, đóng góp hơn 211.419 cây xanh các loại, 2.421.156 ngày công, </w:t>
      </w:r>
      <w:r>
        <w:rPr>
          <w:szCs w:val="28"/>
          <w:lang w:val="nl-NL"/>
        </w:rPr>
        <w:t xml:space="preserve">làm được 203,877km đường giao thông, </w:t>
      </w:r>
      <w:r>
        <w:rPr>
          <w:bCs/>
          <w:szCs w:val="28"/>
          <w:lang w:val="nl-NL"/>
        </w:rPr>
        <w:t>192,885</w:t>
      </w:r>
      <w:r>
        <w:rPr>
          <w:szCs w:val="28"/>
          <w:lang w:val="nl-NL"/>
        </w:rPr>
        <w:t xml:space="preserve">km kênh mương nội đồng, rãnh thoát nước; </w:t>
      </w:r>
      <w:r>
        <w:rPr>
          <w:szCs w:val="28"/>
          <w:lang w:val="es-MX"/>
        </w:rPr>
        <w:t xml:space="preserve">chung tay góp sức </w:t>
      </w:r>
      <w:r>
        <w:rPr>
          <w:szCs w:val="28"/>
          <w:lang w:val="sq-AL"/>
        </w:rPr>
        <w:t xml:space="preserve">xây dựng </w:t>
      </w:r>
      <w:r>
        <w:rPr>
          <w:bCs/>
          <w:szCs w:val="28"/>
          <w:lang w:val="es-MX"/>
        </w:rPr>
        <w:t>các</w:t>
      </w:r>
      <w:r>
        <w:rPr>
          <w:szCs w:val="28"/>
          <w:lang w:val="sq-AL"/>
        </w:rPr>
        <w:t xml:space="preserve"> mô hình, </w:t>
      </w:r>
      <w:r>
        <w:rPr>
          <w:szCs w:val="28"/>
          <w:lang w:val="es-MX"/>
        </w:rPr>
        <w:t xml:space="preserve">chỉnh trang vườn hộ; </w:t>
      </w:r>
      <w:r>
        <w:rPr>
          <w:szCs w:val="28"/>
          <w:lang w:val="es-ES_tradnl"/>
        </w:rPr>
        <w:t xml:space="preserve">xây dựng các tuyến đường hoa, hàng rào xanh, </w:t>
      </w:r>
      <w:r>
        <w:rPr>
          <w:szCs w:val="28"/>
          <w:lang w:val="es-MX"/>
        </w:rPr>
        <w:t>xây dựng</w:t>
      </w:r>
      <w:r>
        <w:rPr>
          <w:szCs w:val="28"/>
          <w:lang w:val="es-ES_tradnl"/>
        </w:rPr>
        <w:t xml:space="preserve"> vườn mẫu, khu dân cư kiểu mẫu</w:t>
      </w:r>
      <w:r>
        <w:rPr>
          <w:rStyle w:val="FootnoteReference"/>
          <w:szCs w:val="28"/>
          <w:lang w:val="es-ES_tradnl"/>
        </w:rPr>
        <w:footnoteReference w:id="21"/>
      </w:r>
      <w:r>
        <w:rPr>
          <w:szCs w:val="28"/>
          <w:lang w:val="es-MX"/>
        </w:rPr>
        <w:t>; đã ra mắt 43 mô hình “Nhà văn hóa cộng đồng - Ngôi nhà Trí tuệ”</w:t>
      </w:r>
      <w:r>
        <w:rPr>
          <w:rStyle w:val="FootnoteReference"/>
          <w:szCs w:val="28"/>
          <w:lang w:val="es-MX"/>
        </w:rPr>
        <w:footnoteReference w:id="22"/>
      </w:r>
      <w:r>
        <w:rPr>
          <w:szCs w:val="28"/>
          <w:lang w:val="es-MX"/>
        </w:rPr>
        <w:t>; vận động nguồn lực ủng hộ là 52,711 tỷ đồng, xây dựng 539 nhà ở trị giá 25,221 tỷ đồng (làm mới 413 nhà và sửa chữa 126 nhà), hỗ trợ 1.372 thẻ BHYT trị giá trên 868 triệu đồng; tặng 149.234 suất quà Tết trị giá 71,746 tỷ đồng, khám chữa bệnh và hỗ trợ học sinh nghèo vượt khó học giỏi 3.404 lượt trị giá trên 2,333 tỷ đồng</w:t>
      </w:r>
      <w:r>
        <w:rPr>
          <w:szCs w:val="28"/>
          <w:lang w:val="es-MX"/>
        </w:rPr>
        <w:footnoteReference w:id="23"/>
      </w:r>
      <w:r>
        <w:rPr>
          <w:szCs w:val="28"/>
          <w:lang w:val="es-MX"/>
        </w:rPr>
        <w:t xml:space="preserve">…Phối hợp với </w:t>
      </w:r>
      <w:r>
        <w:rPr>
          <w:szCs w:val="28"/>
          <w:lang w:val="es-MX"/>
        </w:rPr>
        <w:lastRenderedPageBreak/>
        <w:t>Công an tỉnh hoàn thành xây dựng và giải ngân kinh phí 1.000 nhà ở cho hộ nghèo, hộ khó khăn về nhà ở từ nguồn vận động tài trợ của Bộ Công an; phối hợp xây dựng 103 nhà trị giá 7,210 tỷ đồng từ nguồn Ban Chỉ đạo 22 tỉnh…</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jc w:val="both"/>
        <w:rPr>
          <w:rFonts w:ascii="TimesNewRomanPSMT" w:hAnsi="TimesNewRomanPSMT"/>
          <w:szCs w:val="28"/>
          <w:lang w:val="pt-BR"/>
        </w:rPr>
      </w:pPr>
      <w:r>
        <w:rPr>
          <w:i/>
          <w:szCs w:val="28"/>
          <w:lang w:val="pt-BR"/>
        </w:rPr>
        <w:tab/>
      </w:r>
      <w:r>
        <w:rPr>
          <w:i/>
          <w:spacing w:val="-2"/>
          <w:szCs w:val="28"/>
          <w:lang w:val="pt-BR"/>
        </w:rPr>
        <w:t>b)</w:t>
      </w:r>
      <w:r>
        <w:rPr>
          <w:i/>
          <w:spacing w:val="-2"/>
          <w:szCs w:val="28"/>
          <w:lang w:val="da-DK"/>
        </w:rPr>
        <w:t xml:space="preserve"> Hội Nông dân tỉnh</w:t>
      </w:r>
      <w:r>
        <w:rPr>
          <w:spacing w:val="-2"/>
          <w:szCs w:val="28"/>
          <w:lang w:val="da-DK"/>
        </w:rPr>
        <w:t xml:space="preserve">: </w:t>
      </w:r>
      <w:r>
        <w:rPr>
          <w:rFonts w:ascii="TimesNewRomanPSMT" w:hAnsi="TimesNewRomanPSMT"/>
          <w:szCs w:val="28"/>
          <w:lang w:val="pt-BR"/>
        </w:rPr>
        <w:t>Ký kết chương trình phối hợp số số 11/CTPH/HND-SNN&amp;PTNT ngày 12/4/2024 giữa Hội Nông dân và Sở Nông nghiệp và Phát triển nông thôn nhằm đẩy mạnh tuyên truyền, vận động, hỗ trợ nông dân phát triển nông nghiệp, kinh tế nông thôn và xây dựng nông thôn giai đoạn 2024-2025; phối hợp với Bảo hiểm xã hội tỉnh tổ chức 40 lớp tập huấn tuyên truyền về chính sách bảo hiểm cho 2.800 hội viên; phối hợp với Công an tỉnh tổ chức tập huấn 05 lớp nâng cao kiến thức về an toàn giao thông cho 600 hội viên. Tổ chức tập huấn cho hơn 600 hội viên nông dân trên địa bàn 6 huyện, thị xã nhằm tuyên truyền nâng cao nhận thức trong thực hiện phong trào; thành lập 13 câu lạc bộ sản xuất kinh doanh giỏi cấp huyện với 286 thành viên tham gia; tuyên truyền, vận động 150.215 hộ hội viên, nông dân đăng ký phấn đấu đạt danh hiệu SXKDG các cấp, kết quả có 92.000 hộ đạt danh hiệu hộ sản xuất kinh doanh giỏi các cấp; phối hợp với đài PTTH tỉnh xây 18 phóng sự chuyên đề về phong trào nông dân thi đua sản xuất kinh doanh giỏi, đoàn kết giúp nhau làm giàu và giảm nghèo bền vững, nông dân chuyển đổi số; thực hiện tập trung tích tụ ruộng đất, sản xuất nông nghiệp công nghệ cao, xây dựng nông thôn mới, đô thị văn minh...</w:t>
      </w:r>
      <w:r>
        <w:rPr>
          <w:rStyle w:val="FootnoteTextChar"/>
          <w:lang w:val="pt-BR"/>
        </w:rPr>
        <w:t xml:space="preserve"> </w:t>
      </w:r>
      <w:r>
        <w:rPr>
          <w:rFonts w:ascii="TimesNewRomanPSMT" w:hAnsi="TimesNewRomanPSMT"/>
          <w:szCs w:val="28"/>
          <w:lang w:val="pt-BR"/>
        </w:rPr>
        <w:t>Tổ chức 4.864 buổi tuyên truyền, quán triệt cho 300.733 lượt cán bộ, hội viên, nông dân về tuyên truyền, vận động, hội viên, nông dân tham gia xây dựng nông thôn mới, đô thị văn minh, chỉnh trang vườn hộ, xây dựng các cụm tuyến sáng - xanh - sạch - đẹp - an toàn - văn minh; bảo vệ môi trường nông thôn, thu gom phân loại rác thải sinh hoạt; tập trung sản xuất đảm bảo lịch thời vụ, tích tụ ruộng đất, tích cực thực hiện các phong trào thi đua, ATTP…</w:t>
      </w:r>
      <w:r>
        <w:rPr>
          <w:rStyle w:val="FootnoteTextChar"/>
          <w:lang w:val="pt-BR"/>
        </w:rPr>
        <w:t xml:space="preserve"> </w:t>
      </w:r>
      <w:r>
        <w:rPr>
          <w:rFonts w:ascii="TimesNewRomanPSMT" w:hAnsi="TimesNewRomanPSMT"/>
          <w:szCs w:val="28"/>
          <w:lang w:val="pt-BR"/>
        </w:rPr>
        <w:t>Quản lý tốt nguồn vốn vay ngân hàng, đến nay tổng dư nợ 3</w:t>
      </w:r>
      <w:r>
        <w:rPr>
          <w:rFonts w:ascii="TimesNewRomanPSMT" w:hAnsi="TimesNewRomanPSMT"/>
          <w:szCs w:val="28"/>
          <w:lang w:val="pt-BR"/>
        </w:rPr>
        <w:br/>
        <w:t>ngân hàng đạt hơn 5.185,5 tỷ đồng; tổng số nguồn vốn Quỹ HTND quản lý hiện đạt 63,142 tỷ đồng, trong đó nguồn vốn ủy thác của Trung ương là 15,4 tỷ đồng, nguồn cấp tỉnh là 17,075 tỷ đồng, nguồn cấp huyện quản lý đạt 30,667 tỷ đồng...</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jc w:val="both"/>
        <w:rPr>
          <w:i/>
          <w:szCs w:val="28"/>
          <w:lang w:val="sq-AL"/>
        </w:rPr>
      </w:pPr>
      <w:r>
        <w:rPr>
          <w:i/>
          <w:szCs w:val="28"/>
          <w:lang w:val="pt-BR"/>
        </w:rPr>
        <w:tab/>
      </w:r>
      <w:r>
        <w:rPr>
          <w:rStyle w:val="Emphasis"/>
          <w:rFonts w:cs="Times New Roman"/>
          <w:bCs/>
          <w:spacing w:val="-2"/>
          <w:szCs w:val="28"/>
          <w:shd w:val="clear" w:color="auto" w:fill="FFFFFF"/>
          <w:lang w:val="pt-BR"/>
        </w:rPr>
        <w:t xml:space="preserve">c) </w:t>
      </w:r>
      <w:r>
        <w:rPr>
          <w:rStyle w:val="Emphasis"/>
          <w:rFonts w:cs="Times New Roman"/>
          <w:bCs/>
          <w:spacing w:val="-2"/>
          <w:szCs w:val="28"/>
          <w:shd w:val="clear" w:color="auto" w:fill="FFFFFF"/>
          <w:lang w:val="da-DK"/>
        </w:rPr>
        <w:t xml:space="preserve">Hội Phụ nữ tỉnh: </w:t>
      </w:r>
      <w:r>
        <w:rPr>
          <w:rFonts w:ascii="TimesNewRomanPSMT" w:hAnsi="TimesNewRomanPSMT"/>
          <w:szCs w:val="28"/>
          <w:lang w:val="pt-BR"/>
        </w:rPr>
        <w:t xml:space="preserve">Các cấp Hội phụ nữ </w:t>
      </w:r>
      <w:r>
        <w:rPr>
          <w:rFonts w:ascii="TimesNewRomanPSMT" w:hAnsi="TimesNewRomanPSMT"/>
          <w:iCs/>
          <w:lang w:val="pt-BR"/>
        </w:rPr>
        <w:t>đã t</w:t>
      </w:r>
      <w:r>
        <w:rPr>
          <w:rFonts w:ascii="TimesNewRomanPSMT" w:hAnsi="TimesNewRomanPSMT"/>
          <w:szCs w:val="28"/>
          <w:lang w:val="pt-BR"/>
        </w:rPr>
        <w:t>ổ chức 2.769 cuộc tập huấn, truyền thông cho 229.974 lượt hội viên phụ nữ; tiếp tục duy trì 571 mô hình học tập và làm theo Bác với số tiền tiết kiệm trên 31 tỷ đồng giúp chị em phát triển kinh tế; xây dựng gần 4.000 tin, bài, phóng sự, tổ chức 70 lớp tập huấn (trong đó Hội LHPN tỉnh tổ chức 38 lớp) các kiến thức về phát triển kinh tế, kỹ thuật nông nghiệp, chuyển giao KHKT</w:t>
      </w:r>
      <w:r>
        <w:rPr>
          <w:rStyle w:val="FootnoteReference"/>
          <w:rFonts w:ascii="TimesNewRomanPSMT" w:hAnsi="TimesNewRomanPSMT"/>
          <w:szCs w:val="28"/>
          <w:lang w:val="pt-BR"/>
        </w:rPr>
        <w:footnoteReference w:id="24"/>
      </w:r>
      <w:r>
        <w:rPr>
          <w:rFonts w:ascii="TimesNewRomanPSMT" w:hAnsi="TimesNewRomanPSMT"/>
          <w:szCs w:val="28"/>
          <w:lang w:val="pt-BR"/>
        </w:rPr>
        <w:t xml:space="preserve"> với 12.965 lượt cán bộ, hội viên tham gia; tổ chức Tọa đàm "Chia sẻ kinh nghiệm trong quản lý, điều hành hoạt động THT, HTX do phụ nữ tham gia quản lý, tạo việc làm cho lao động nữ” với 120 đại biểu; phối hợp tổ chức 54 lớp đào tạo nghề cho lao động nữ; 16 cuộc tư vấn, giới thiệu việc làm cho 43.958 phụ nữ. Tổ chức thành công Cuộc thi: “Phụ nữ Hà Tĩnh khởi nghiệp sáng tạo và chuyển đổi xanh”; kết quả, đã thu hút 48 dự án khởi nghiệp tham gia </w:t>
      </w:r>
      <w:r>
        <w:rPr>
          <w:rFonts w:ascii="TimesNewRomanPSMT" w:hAnsi="TimesNewRomanPSMT"/>
          <w:szCs w:val="28"/>
          <w:lang w:val="pt-BR"/>
        </w:rPr>
        <w:lastRenderedPageBreak/>
        <w:t>vòng thi cấp tỉnh trong đó, có 8 ý tưởng/dự án</w:t>
      </w:r>
      <w:r>
        <w:rPr>
          <w:rStyle w:val="FootnoteReference"/>
          <w:rFonts w:ascii="TimesNewRomanPSMT" w:hAnsi="TimesNewRomanPSMT"/>
          <w:szCs w:val="28"/>
          <w:lang w:val="pt-BR"/>
        </w:rPr>
        <w:footnoteReference w:id="25"/>
      </w:r>
      <w:r>
        <w:rPr>
          <w:rFonts w:ascii="TimesNewRomanPSMT" w:hAnsi="TimesNewRomanPSMT"/>
          <w:szCs w:val="28"/>
          <w:lang w:val="pt-BR"/>
        </w:rPr>
        <w:t xml:space="preserve"> xuất sắc lọt vào vòng Chung kết cấp tỉnh và trao giải với số tiền 48,8 triệu đồng; 02 dự án đạt giải nhất, khuyến khích Cuộc thi “Khởi nghiệp, đổi mới sáng tạo” do Sở Khoa học công nghệ tỉnh tổ chức. Đặc biệt, có Dự án “Trầm hương Tâm Thiên Hương - Hơn cả một trải nghiệm” đoạt giải Nhất Khu vực Miền trung và giải Nhì Chung kết toàn quốc. Tổ chức lễ phát động, trồng mới 860.233 cây xanh; vận động, hỗ trợ 10.929 hộ chỉnh trang nhà ở, vườn tạp, 1.113 hộ di dời công trình phụ trợ, 423 hộ gia đình xây dựng nhà tiêu hợp vệ sinh, 1.294 hộ được tiếp cận sử dụng nước sạch; 20.391 hố rác/hố ủ phân hữu cơ, 1.751 mô hình chăn nuôi sử dụng đệ</w:t>
      </w:r>
      <w:r>
        <w:rPr>
          <w:rFonts w:eastAsia="Times New Roman" w:cs="Times New Roman"/>
          <w:szCs w:val="28"/>
          <w:lang w:val="sq-AL"/>
        </w:rPr>
        <w:t>m lót sinh học, 3.005 mô hình thu gom, xử lý nước thải; 504 hố xử lý phân/rác hữu cơ, 56 thùng composite ủ rác hữu cơ; vận động mua 833 giỏ rác, thùng rác....</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jc w:val="both"/>
        <w:rPr>
          <w:rFonts w:eastAsia="Times New Roman" w:cs="Times New Roman"/>
          <w:szCs w:val="28"/>
          <w:lang w:val="sq-AL" w:eastAsia="zh-CN"/>
        </w:rPr>
      </w:pPr>
      <w:r>
        <w:rPr>
          <w:i/>
          <w:szCs w:val="28"/>
          <w:lang w:val="sq-AL"/>
        </w:rPr>
        <w:tab/>
      </w:r>
      <w:r>
        <w:rPr>
          <w:rFonts w:eastAsia="Times New Roman" w:cs="Times New Roman"/>
          <w:i/>
          <w:szCs w:val="28"/>
          <w:lang w:val="sq-AL"/>
        </w:rPr>
        <w:t xml:space="preserve">d) Tỉnh đoàn: </w:t>
      </w:r>
      <w:r>
        <w:rPr>
          <w:rFonts w:eastAsia="Times New Roman" w:cs="Times New Roman"/>
          <w:szCs w:val="28"/>
          <w:lang w:val="sq-AL" w:eastAsia="zh-CN"/>
        </w:rPr>
        <w:t xml:space="preserve">Toàn tỉnh thành lập hơn 1.500 đội hình Thanh niên tình nguyện tham gia hỗ trợ các địa phương hoàn thành các tiêu chí xây dựng nông thôn mới, nông thôn mới nâng cao, nông thôn mới kiểu mẫu; khánh thành, bàn giao 59 công trình “Thanh niên thắp sáng đường quê”; hỗ trợ xây dựng các sân chơi thể thao, nhà nhân ái trị giá hơn 3,5 tỷ đồng. Giúp đỡ chỉnh trang các khu dân cư mẫu, vườn mẫu; trồng mới 23 vườn ươm với gần 190.000 bịch cây giống. Tham mưu ban hành Nghị quyết số 127/2024-NQ/HĐND ngày 18/7/2024 việc sử dụng ngân sách địa phương ủy thác qua Chi nhánh Ngân hàng chính sách xã hội tỉnh để cho vay vốn hỗ trợ thanh niên khởi nghiệp, lập nghiệp tỉnh Hà Tĩnh giai đoạn 2024 - 2026 với số vốn 50 tỷ đồng; triển khai hiệu quả các nguồn vốn ưu đãi khác; hỗ trợ xây dựng và ra mắt 179 Mô hình kinh tế thanh niên quy mô trên 200 triệu đồng, tổ chức 41 lớp tư vấn hướng nghiệp, giới thiệu việc làm cho gần 11.000 thanh niên. </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rFonts w:cs="Times New Roman"/>
          <w:b/>
          <w:i/>
          <w:spacing w:val="-4"/>
          <w:szCs w:val="28"/>
          <w:lang w:val="es-NI"/>
        </w:rPr>
      </w:pPr>
      <w:r>
        <w:rPr>
          <w:i/>
          <w:lang w:val="sq-AL"/>
        </w:rPr>
        <w:t xml:space="preserve">đ) </w:t>
      </w:r>
      <w:r>
        <w:rPr>
          <w:i/>
          <w:lang w:val="nb-NO"/>
        </w:rPr>
        <w:t>Liên đoàn Lao động tỉnh:</w:t>
      </w:r>
      <w:r>
        <w:rPr>
          <w:spacing w:val="-2"/>
          <w:szCs w:val="28"/>
          <w:lang w:val="es-NI"/>
        </w:rPr>
        <w:t xml:space="preserve"> </w:t>
      </w:r>
      <w:r>
        <w:rPr>
          <w:spacing w:val="-2"/>
          <w:lang w:val="es-NI"/>
        </w:rPr>
        <w:t>Đã thực hiện tốt công tác tuyên truyền vận động các đoàn viên công đoàn tham gia có hiệu quả phong trào “đoàn viên công đoàn đồng hành cùng cấp ủy, chính quyền xây dựng NTM”.</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rFonts w:cs="Times New Roman"/>
          <w:b/>
          <w:i/>
          <w:spacing w:val="-4"/>
          <w:szCs w:val="28"/>
          <w:lang w:val="es-NI"/>
        </w:rPr>
      </w:pPr>
      <w:r>
        <w:rPr>
          <w:i/>
          <w:lang w:val="es-NI"/>
        </w:rPr>
        <w:t>e)</w:t>
      </w:r>
      <w:r>
        <w:rPr>
          <w:i/>
          <w:lang w:val="nb-NO"/>
        </w:rPr>
        <w:t xml:space="preserve"> Hội Cựu Chiến binh tỉnh</w:t>
      </w:r>
      <w:r>
        <w:rPr>
          <w:lang w:val="nb-NO"/>
        </w:rPr>
        <w:t xml:space="preserve">: </w:t>
      </w:r>
      <w:r>
        <w:rPr>
          <w:szCs w:val="28"/>
          <w:lang w:val="nb-NO"/>
        </w:rPr>
        <w:t xml:space="preserve">Các cấp hội đã vận động </w:t>
      </w:r>
      <w:r>
        <w:rPr>
          <w:szCs w:val="28"/>
          <w:lang w:val="es-NI"/>
        </w:rPr>
        <w:t>hội viên CCB tiếp tục tham gia xây dựng NTM, như hiến đất, đóng góp ngày công, kinh phí xây dựng, nâng cấp đường giao thông nông thôn, kênh mương nội đồng; tham gia xây dựng khu dân cư kiểu mẫu, đô thị văn minh….</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20"/>
        <w:jc w:val="both"/>
        <w:rPr>
          <w:rFonts w:cs="Times New Roman"/>
          <w:b/>
          <w:i/>
          <w:spacing w:val="-4"/>
          <w:szCs w:val="28"/>
          <w:lang w:val="nl-NL"/>
        </w:rPr>
      </w:pPr>
      <w:r>
        <w:rPr>
          <w:rFonts w:cs="Times New Roman"/>
          <w:i/>
          <w:spacing w:val="-4"/>
          <w:szCs w:val="28"/>
          <w:lang w:val="nl-NL"/>
        </w:rPr>
        <w:t xml:space="preserve">6.3. </w:t>
      </w:r>
      <w:r>
        <w:rPr>
          <w:rFonts w:cs="Times New Roman"/>
          <w:i/>
          <w:spacing w:val="-4"/>
          <w:szCs w:val="28"/>
          <w:lang w:val="da-DK"/>
        </w:rPr>
        <w:t xml:space="preserve">Giải ngân vốn NTM: </w:t>
      </w:r>
      <w:r>
        <w:rPr>
          <w:rFonts w:cs="Times New Roman"/>
          <w:spacing w:val="-4"/>
          <w:szCs w:val="28"/>
          <w:lang w:val="da-DK"/>
        </w:rPr>
        <w:t xml:space="preserve">Theo báo cáo của Sở Tài chính, đến ngày 25/02/2025 tổng số vốn Chương trình NTM năm 2024 đã giải ngân là 411.626/593.139 triệu đồng (đạt 69,4% KH), trong đó vốn đầu tư phát triển 365.695/504.912triệu đồng </w:t>
      </w:r>
      <w:r>
        <w:rPr>
          <w:rFonts w:cs="Times New Roman"/>
          <w:i/>
          <w:spacing w:val="-4"/>
          <w:szCs w:val="28"/>
          <w:lang w:val="da-DK"/>
        </w:rPr>
        <w:t>(đạt 72,43%KH)</w:t>
      </w:r>
      <w:r>
        <w:rPr>
          <w:rFonts w:cs="Times New Roman"/>
          <w:spacing w:val="-4"/>
          <w:szCs w:val="28"/>
          <w:lang w:val="da-DK"/>
        </w:rPr>
        <w:t xml:space="preserve">; vốn sự nghiệp 45.931/88.228 triệu đồng </w:t>
      </w:r>
      <w:r>
        <w:rPr>
          <w:rFonts w:cs="Times New Roman"/>
          <w:i/>
          <w:spacing w:val="-4"/>
          <w:szCs w:val="28"/>
          <w:lang w:val="da-DK"/>
        </w:rPr>
        <w:t>(đạt 52,06%KH)</w:t>
      </w:r>
      <w:r>
        <w:rPr>
          <w:rFonts w:cs="Times New Roman"/>
          <w:spacing w:val="-4"/>
          <w:szCs w:val="28"/>
          <w:lang w:val="da-DK"/>
        </w:rPr>
        <w:t xml:space="preserve">. </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jc w:val="both"/>
        <w:rPr>
          <w:i/>
          <w:szCs w:val="28"/>
          <w:lang w:val="sq-AL"/>
        </w:rPr>
      </w:pPr>
      <w:r>
        <w:rPr>
          <w:i/>
          <w:szCs w:val="28"/>
          <w:lang w:val="sq-AL"/>
        </w:rPr>
        <w:tab/>
      </w:r>
      <w:r>
        <w:rPr>
          <w:rFonts w:cs="Times New Roman"/>
          <w:i/>
          <w:spacing w:val="-4"/>
          <w:szCs w:val="28"/>
          <w:lang w:val="nl-NL"/>
        </w:rPr>
        <w:t>6.4. Tuyên truyền, đào tạo, tập huấn</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jc w:val="both"/>
        <w:rPr>
          <w:i/>
          <w:szCs w:val="28"/>
          <w:lang w:val="vi-VN"/>
        </w:rPr>
      </w:pPr>
      <w:r>
        <w:rPr>
          <w:i/>
          <w:szCs w:val="28"/>
          <w:lang w:val="sq-AL"/>
        </w:rPr>
        <w:tab/>
      </w:r>
      <w:r>
        <w:rPr>
          <w:rFonts w:eastAsia="Times New Roman" w:cs="Times New Roman"/>
          <w:szCs w:val="28"/>
          <w:lang w:val="pt-BR" w:eastAsia="zh-CN"/>
        </w:rPr>
        <w:t xml:space="preserve">Trong năm 2024 đã có trên 1.220 tin, bài, phóng sự, ký sự được đăng tải trên các phương tiện thông tin đại chúng; các Sở, ngành và tổ chức đoàn thể, chính trị xã hội cấp tỉnh tổ chức trên 1.530 cuộc truyền thông; các huyện, thành phố, thị xã và các xã tổ chức 2.081 lớp tập huấn và tuyên truyền về chủ trương, chính sách khuyến khích phát triển nông nghiệp, nông thôn gắn với xây dựng tỉnh đạt chuẩn NTM trên địa bàn tỉnh Hà Tĩnh giai đoạn 2021-2025, ứng dụng khoa học công nghệ, sản xuất sản phẩm hàng hóa, an toàn theo chuẩn Vietgap, OCOP; bảo vệ môi trường, thực hiện bình đẳng giới, phòng chống bạo lực trên cơ sở giới, chuyển đổi </w:t>
      </w:r>
      <w:r>
        <w:rPr>
          <w:rFonts w:eastAsia="Times New Roman" w:cs="Times New Roman"/>
          <w:szCs w:val="28"/>
          <w:lang w:val="pt-BR" w:eastAsia="zh-CN"/>
        </w:rPr>
        <w:lastRenderedPageBreak/>
        <w:t xml:space="preserve">số, phân loại rác thải, 5 không 3 sạch, gia đình 5 có - NTM kiểu mẫu. Bên cạnh đó, các huyện, thành phố, thị xã và các xã phát huy hiệu quả việc sử dụng các tiện ích mạng xã hội (zalo, facebook,...) để tuyên truyền, chỉ đạo, điều hành và cập nhập thông tin báo cáo; các Đoàn Công tác của Huyện ủy, Tổ công tác chỉ đạo tại cơ sở tăng cường công tác kiểm tra, giám sát, kịp thời giải quyết các khó khăn, vướng mắc. </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jc w:val="both"/>
        <w:rPr>
          <w:rFonts w:cs="Times New Roman"/>
          <w:bCs/>
          <w:iCs/>
          <w:szCs w:val="28"/>
          <w:lang w:val="pt-BR"/>
        </w:rPr>
      </w:pPr>
      <w:r>
        <w:rPr>
          <w:rFonts w:eastAsia="Times New Roman" w:cs="Times New Roman"/>
          <w:szCs w:val="28"/>
          <w:lang w:val="pt-BR" w:eastAsia="zh-CN"/>
        </w:rPr>
        <w:tab/>
        <w:t>Cấp tỉnh đã tổ chức 13 lớp đào tạo cho 352 học viên, với các nghề như: Điện dân dụng, hàn xì, may mặc, chăn nuôi gia súc, gia cầm, nấu ăn,... 91 lớp tập huấn cho 8.985 người về sản xuất nông nghiệp hữu cơ; phòng trừ dịch bệnh cho cây trồng, vật nuôi; hướng dẫn các Bộ tiêu chí NTM, xây dựng hố xử lý nước thải sinh hoạt, phân loại rác, văn hóa ứng xử, chương trình OCOP; chuyển đổi số; xây dựng thương hiệu, nhãn hiệu sản phẩm công nghiệp nông thôn gắn với phổ biến chính sách mới về phát triển công nghiệp, thương mại nông thôn;... trong đó Văn phòng Điều phối NTM tỉnh đã phối hợp với các Sở, ngành tổ chức tập huấn 18 lớp về hướng dẫn xây dựng Khu dân cư NTM kiểu mẫu, Chương trình OCOP cho trên 2.350 học viên.</w:t>
      </w:r>
      <w:r>
        <w:rPr>
          <w:rFonts w:cs="Times New Roman"/>
          <w:b/>
          <w:sz w:val="26"/>
          <w:szCs w:val="26"/>
          <w:lang w:val="nl-NL"/>
        </w:rPr>
        <w:tab/>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jc w:val="both"/>
        <w:rPr>
          <w:rFonts w:cs="Times New Roman"/>
          <w:bCs/>
          <w:iCs/>
          <w:szCs w:val="28"/>
          <w:lang w:val="nl-NL"/>
        </w:rPr>
      </w:pPr>
      <w:r>
        <w:rPr>
          <w:rFonts w:cs="Times New Roman"/>
          <w:b/>
          <w:sz w:val="26"/>
          <w:szCs w:val="26"/>
          <w:lang w:val="nl-NL"/>
        </w:rPr>
        <w:tab/>
        <w:t>II. TỒN TẠI, HẠN CHẾ, KHÓ KHĂN</w:t>
      </w:r>
      <w:r>
        <w:rPr>
          <w:rFonts w:cs="Times New Roman"/>
          <w:szCs w:val="28"/>
          <w:lang w:val="nl-NL"/>
        </w:rPr>
        <w:tab/>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jc w:val="both"/>
        <w:rPr>
          <w:rFonts w:cs="Times New Roman"/>
          <w:szCs w:val="28"/>
          <w:lang w:val="de-DE"/>
        </w:rPr>
      </w:pPr>
      <w:r>
        <w:rPr>
          <w:rFonts w:cs="Times New Roman"/>
          <w:szCs w:val="28"/>
          <w:lang w:val="de-DE"/>
        </w:rPr>
        <w:tab/>
        <w:t>- Công tác lãnh đạo chỉ đạo ở một số địa phương chưa quyết liệt</w:t>
      </w:r>
      <w:r>
        <w:rPr>
          <w:rFonts w:cs="Times New Roman"/>
          <w:szCs w:val="28"/>
          <w:lang w:val="sq-AL"/>
        </w:rPr>
        <w:t>;</w:t>
      </w:r>
      <w:r>
        <w:rPr>
          <w:rFonts w:cs="Times New Roman"/>
          <w:szCs w:val="28"/>
          <w:lang w:val="nl-NL"/>
        </w:rPr>
        <w:t xml:space="preserve"> các xã, huyện sau khi được công nhận đạt chuẩn có biểu hiện chùng xuống, nhất là những xã, huyện chưa phấn đấu xây dựng </w:t>
      </w:r>
      <w:r>
        <w:rPr>
          <w:rFonts w:cs="Times New Roman"/>
          <w:szCs w:val="28"/>
          <w:lang w:val="da-DK"/>
        </w:rPr>
        <w:t>NTM</w:t>
      </w:r>
      <w:r>
        <w:rPr>
          <w:rFonts w:cs="Times New Roman"/>
          <w:szCs w:val="28"/>
          <w:lang w:val="nl-NL"/>
        </w:rPr>
        <w:t xml:space="preserve"> nâng cao, kiểu mẫu đạt kết quả thấp.</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jc w:val="both"/>
        <w:rPr>
          <w:rFonts w:cs="Times New Roman"/>
          <w:bCs/>
          <w:iCs/>
          <w:szCs w:val="28"/>
          <w:lang w:val="nl-NL"/>
        </w:rPr>
      </w:pPr>
      <w:r>
        <w:rPr>
          <w:rFonts w:cs="Times New Roman"/>
          <w:szCs w:val="28"/>
          <w:lang w:val="de-DE"/>
        </w:rPr>
        <w:tab/>
        <w:t>- Việc thực hiện một số nội dung, tiêu chí còn tồn tại:</w:t>
      </w:r>
      <w:r>
        <w:rPr>
          <w:rStyle w:val="m11635446225680410s2"/>
          <w:spacing w:val="-4"/>
          <w:szCs w:val="28"/>
          <w:lang w:val="nl-NL"/>
        </w:rPr>
        <w:tab/>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jc w:val="both"/>
        <w:rPr>
          <w:lang w:val="es-AR"/>
        </w:rPr>
      </w:pPr>
      <w:r>
        <w:rPr>
          <w:rStyle w:val="m11635446225680410s2"/>
          <w:spacing w:val="-4"/>
          <w:szCs w:val="28"/>
          <w:lang w:val="nl-NL"/>
        </w:rPr>
        <w:tab/>
        <w:t xml:space="preserve">+ </w:t>
      </w:r>
      <w:r>
        <w:rPr>
          <w:lang w:val="es-AR"/>
        </w:rPr>
        <w:t>HTX có quy mô hoạt động còn nhỏ, thiếu vốn, thiếu đất, thiếu phương án sản xuất kinh doanh hiệu quả; sản xuất manh mún, liên doanh liên kết lỏng lẻo; mô hình tốt chưa có nhiều; năng lực, trình độ của HTX còn bất cập, hạn chế; kết quả sản xuất kinh doanh của HTX chưa cao.</w:t>
      </w:r>
      <w:r>
        <w:rPr>
          <w:rFonts w:cs="Times New Roman"/>
          <w:szCs w:val="28"/>
          <w:lang w:val="de-DE"/>
        </w:rPr>
        <w:tab/>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jc w:val="both"/>
        <w:rPr>
          <w:lang w:val="es-AR"/>
        </w:rPr>
      </w:pPr>
      <w:r>
        <w:rPr>
          <w:rFonts w:cs="Times New Roman"/>
          <w:szCs w:val="28"/>
          <w:lang w:val="de-DE"/>
        </w:rPr>
        <w:tab/>
        <w:t xml:space="preserve">+ </w:t>
      </w:r>
      <w:r>
        <w:rPr>
          <w:szCs w:val="28"/>
          <w:lang w:val="es-AR"/>
        </w:rPr>
        <w:t xml:space="preserve">Làm đường giao thông nông thôn, kênh mương nội đồng theo cơ chế hỗ trợ xi măng không đạt kế hoạch đề ra: </w:t>
      </w:r>
      <w:r>
        <w:rPr>
          <w:lang w:val="nl-NL"/>
        </w:rPr>
        <w:t>Kênh mương nội đồng đạt 68,49% kế hoạch; đường giao thông nông thôn đạt 77% KH,</w:t>
      </w:r>
      <w:r>
        <w:rPr>
          <w:szCs w:val="28"/>
          <w:lang w:val="es-AR"/>
        </w:rPr>
        <w:t xml:space="preserve"> một số địa phương chất lượng làm đường GTNT chưa cao, chưa đồng đều giữa các tuyến; chậm đắp đất lề đường làm ảnh hưởng chất lượng mặt đường, tiềm ẩn nguy cơ mất ATGT</w:t>
      </w:r>
      <w:r>
        <w:rPr>
          <w:szCs w:val="28"/>
          <w:lang w:val="de-DE"/>
        </w:rPr>
        <w:t>.</w:t>
      </w:r>
      <w:r>
        <w:rPr>
          <w:szCs w:val="28"/>
          <w:lang w:val="it-IT"/>
        </w:rPr>
        <w:t xml:space="preserve"> </w:t>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jc w:val="both"/>
        <w:rPr>
          <w:szCs w:val="28"/>
          <w:lang w:val="it-IT"/>
        </w:rPr>
      </w:pPr>
      <w:r>
        <w:rPr>
          <w:szCs w:val="28"/>
          <w:lang w:val="it-IT"/>
        </w:rPr>
        <w:tab/>
        <w:t>+ Tỷ lệ trường đạt chuẩn quốc gia tăng lên song chưa đạt theo Kế hoạch Đề án Xây dựng trường mầm non và phổ thông công lập tỉnh Hà Tĩnh đạt chuẩn quốc gia, giai đoạn 2021-2025; cơ sở vật chất các trường THPT, trung tâm GDNN-GDTX xuống cấp, chậm được nâng cấp, xây mới; thiết bị dạy học theo Chương trình GDPT 2018 chưa được bổ sung kịp thời.</w:t>
      </w:r>
      <w:r>
        <w:rPr>
          <w:rStyle w:val="fontstyle01"/>
          <w:color w:val="auto"/>
          <w:lang w:val="it-IT"/>
        </w:rPr>
        <w:tab/>
      </w:r>
    </w:p>
    <w:p w:rsidR="00291AF2" w:rsidRDefault="004E05BB" w:rsidP="003F568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jc w:val="both"/>
        <w:rPr>
          <w:rStyle w:val="fontstyle01"/>
          <w:color w:val="auto"/>
          <w:lang w:val="it-IT"/>
        </w:rPr>
      </w:pPr>
      <w:r>
        <w:rPr>
          <w:rStyle w:val="fontstyle01"/>
          <w:color w:val="auto"/>
          <w:lang w:val="it-IT"/>
        </w:rPr>
        <w:tab/>
        <w:t>+ Xây dựng, hình thành vùng sản xuất hàng hóa tập trung quy mô lớn còn hạn chế, vùng nguyên liệu sản xuất hàng hoá còn thiếu bền vững, nhất là khâu liên kết tiêu thụ sản phẩm và bảo vệ môi trường nhiều địa phương còn chưa chú trọng.</w:t>
      </w:r>
      <w:r>
        <w:rPr>
          <w:rStyle w:val="fontstyle01"/>
          <w:rFonts w:ascii="Times New Roman" w:hAnsi="Times New Roman"/>
          <w:color w:val="auto"/>
          <w:lang w:val="it-IT"/>
        </w:rPr>
        <w:t xml:space="preserve"> </w:t>
      </w:r>
      <w:r>
        <w:rPr>
          <w:rStyle w:val="fontstyle01"/>
          <w:color w:val="auto"/>
          <w:lang w:val="it-IT"/>
        </w:rPr>
        <w:t xml:space="preserve">Việc áp dụng các quy trình kỹ thuật tiên tiến (VietGAP, hữu cơ) vào các mô hình và sản xuất đại trà hiện nay phần lớn phụ thuộc vào hỗ trợ từ chính sách, chương trình dự án và các doanh nghiệp; Sản xuất nông nghiệp an toàn (VietGAP, GMP…), nông nghiệp hữu cơ đang còn ở dạng mô hình, chưa phát triển mạnh theo hướng hàng hoá, sản phẩm đầu ra chưa ổn định; việc duy trì các tiêu chuẩn sau khi </w:t>
      </w:r>
      <w:r>
        <w:rPr>
          <w:rStyle w:val="fontstyle01"/>
          <w:color w:val="auto"/>
          <w:lang w:val="it-IT"/>
        </w:rPr>
        <w:lastRenderedPageBreak/>
        <w:t>được cấp chứng nhận còn khó khăn; thực hiện đánh giá cấp lại chứng nhận khi hết hiệu lực chưa được người sản xuất quan tâm, thực hiện; các chuỗi liên kết sản xuất, bao tiêu sản phẩm còn hạn chế, thiếu bền vững, chủ yếu đang ở dạng mô hình.</w:t>
      </w:r>
    </w:p>
    <w:p w:rsidR="00291AF2" w:rsidRDefault="004E05BB">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rFonts w:ascii="TimesNewRomanPSMT" w:hAnsi="TimesNewRomanPSMT"/>
          <w:szCs w:val="28"/>
          <w:lang w:val="it-IT"/>
        </w:rPr>
      </w:pPr>
      <w:r>
        <w:rPr>
          <w:rStyle w:val="fontstyle01"/>
          <w:color w:val="auto"/>
          <w:lang w:val="it-IT"/>
        </w:rPr>
        <w:t xml:space="preserve">+ </w:t>
      </w:r>
      <w:r>
        <w:rPr>
          <w:rFonts w:cs="Times New Roman"/>
          <w:spacing w:val="-4"/>
          <w:szCs w:val="28"/>
          <w:lang w:val="it-IT"/>
        </w:rPr>
        <w:t>V</w:t>
      </w:r>
      <w:r>
        <w:rPr>
          <w:rFonts w:cs="Times New Roman"/>
          <w:spacing w:val="-4"/>
          <w:szCs w:val="28"/>
          <w:lang w:val="vi-VN"/>
        </w:rPr>
        <w:t xml:space="preserve">iệc phân loại CTRSH tại nguồn một số địa phương triển khai chậm, chưa đồng bộ; rác sau phân loại (nhất là khu vực đô thị) do không đủ phương tiện thu gom riêng từng loại rác sau phân loại nên thu gom, vận chuyển chung dẫn đến không đạt được mục tiêu của việc phân loại. </w:t>
      </w:r>
    </w:p>
    <w:p w:rsidR="00291AF2" w:rsidRDefault="004E05BB">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szCs w:val="28"/>
          <w:lang w:val="es-ES_tradnl"/>
        </w:rPr>
      </w:pPr>
      <w:r>
        <w:rPr>
          <w:bCs/>
          <w:lang w:val="es-ES_tradnl"/>
        </w:rPr>
        <w:t>- Tiến độ giải ngân vốn Chương trình NTM còn chậm, nhất là vốn thực hiện các công trình nước sạch tập trung; vốn thực hiện các chương trình chuyên đề trong xây dựng nông thôn mới.</w:t>
      </w:r>
    </w:p>
    <w:p w:rsidR="00291AF2" w:rsidRDefault="004E05BB">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szCs w:val="28"/>
          <w:lang w:val="es-ES_tradnl"/>
        </w:rPr>
      </w:pPr>
      <w:r>
        <w:rPr>
          <w:rFonts w:cs="Times New Roman"/>
          <w:szCs w:val="28"/>
          <w:lang w:val="pt-BR"/>
        </w:rPr>
        <w:t>-</w:t>
      </w:r>
      <w:r>
        <w:rPr>
          <w:bCs/>
          <w:lang w:val="es-ES_tradnl"/>
        </w:rPr>
        <w:t xml:space="preserve"> Tiến độ thực hiện các mô hình thí điểm do Trung ương phê duyệt thuộc các chương trình chuyên đề trong xây dựng NTM</w:t>
      </w:r>
      <w:r>
        <w:rPr>
          <w:rStyle w:val="FootnoteReference"/>
          <w:bCs/>
          <w:lang w:val="es-ES_tradnl"/>
        </w:rPr>
        <w:footnoteReference w:id="26"/>
      </w:r>
      <w:r>
        <w:rPr>
          <w:bCs/>
          <w:lang w:val="es-ES_tradnl"/>
        </w:rPr>
        <w:t xml:space="preserve"> còn chậm; khối lượng triển khai chưa được nhiều, </w:t>
      </w:r>
      <w:r>
        <w:rPr>
          <w:rFonts w:cs="Times New Roman"/>
          <w:szCs w:val="28"/>
          <w:lang w:val="pt-BR"/>
        </w:rPr>
        <w:t>do một số nội dung mới (chuyển đổi số, du lịch nông thôn); mức hỗ trợ thấp, ngân sách trung ương hỗ trợ tối đa 50% kinh phí trong khi việc cân đối, bố trí nguồn lực của địa phương còn khó khăn,...</w:t>
      </w:r>
    </w:p>
    <w:p w:rsidR="00291AF2" w:rsidRDefault="004E05BB">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spacing w:val="-2"/>
          <w:lang w:val="nl-NL"/>
        </w:rPr>
      </w:pPr>
      <w:r>
        <w:rPr>
          <w:spacing w:val="-2"/>
          <w:lang w:val="nl-NL"/>
        </w:rPr>
        <w:t>- Các cơ sở OCOP chưa chú trọng việc hoàn thiện bộ nhận diện thương hiệu và chưa chấp hành đúng tem nhãn OCOP sau đánh giá phân hạng; cấp huyện chưa chú trọng kiểm tra, soát xét sau đánh giá phân hạng; năng lực của chủ cơ sở còn hạn chế nên việc hoàn thiện hồ sơ đánh giá phân hạng còn gặp khó khăn, lúng túng, nhiều chủ cơ sở phải thuê đơn vị tư vấn; nhiều chủ cơ sở chưa mạnh dạn tham gia các sự kiện, hội chợ xúc tiến thương mại; công tác quản trị doanh nghiệp và tìm kiếm mở rộng thị trường chưa thực sự hiệu quả; việc nâng hạng sản phẩm sau khi được công nhận các cơ sở và các huyện, thành phố, thị xã chưa quan tâm cao.</w:t>
      </w:r>
    </w:p>
    <w:p w:rsidR="00291AF2" w:rsidRDefault="004E05BB">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szCs w:val="28"/>
          <w:lang w:val="nl-NL"/>
        </w:rPr>
      </w:pPr>
      <w:r>
        <w:rPr>
          <w:rFonts w:cs="Times New Roman"/>
          <w:b/>
          <w:szCs w:val="28"/>
          <w:lang w:val="nl-NL"/>
        </w:rPr>
        <w:t xml:space="preserve">- </w:t>
      </w:r>
      <w:r>
        <w:rPr>
          <w:rFonts w:cs="Times New Roman"/>
          <w:szCs w:val="28"/>
          <w:lang w:val="nl-NL"/>
        </w:rPr>
        <w:t>Kết quả xây dựng xã nông thôn mới nâng cao, huyện NTM nâng cao đạt thấp: Xã NTM nâng cao mới đạt 85% KH năm 2024 (</w:t>
      </w:r>
      <w:r>
        <w:rPr>
          <w:rFonts w:cs="Times New Roman"/>
          <w:i/>
          <w:szCs w:val="28"/>
          <w:lang w:val="nl-NL"/>
        </w:rPr>
        <w:t>15 xã đạt chuẩn/KH 20 xã đạt chuẩn)</w:t>
      </w:r>
      <w:r>
        <w:rPr>
          <w:rFonts w:cs="Times New Roman"/>
          <w:szCs w:val="28"/>
          <w:lang w:val="nl-NL"/>
        </w:rPr>
        <w:t xml:space="preserve"> do các xã chưa đạt tỷ lệ hộ sử dụng nước sạch từ công trình cấp nước tập trung chưa đảm bảo tối thiểu 55%; </w:t>
      </w:r>
      <w:r>
        <w:rPr>
          <w:rFonts w:cs="Times New Roman"/>
          <w:lang w:val="nl-NL"/>
        </w:rPr>
        <w:t xml:space="preserve">4 huyện: Thạch Hà, Can Lộc, Đức Thọ và Nghi Xuân phấn đấu đạt chuẩn huyện NTM nâng cao năm 2024, tuy nhiên 2 huyện Thạch Hà, Can Lộc còn nhiều nội dung, tiêu chí chưa đạt.. </w:t>
      </w:r>
    </w:p>
    <w:p w:rsidR="00291AF2" w:rsidRDefault="004E05BB">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szCs w:val="28"/>
          <w:lang w:val="it-IT"/>
        </w:rPr>
      </w:pPr>
      <w:r>
        <w:rPr>
          <w:szCs w:val="28"/>
          <w:lang w:val="it-IT"/>
        </w:rPr>
        <w:t xml:space="preserve">- </w:t>
      </w:r>
      <w:r>
        <w:rPr>
          <w:rFonts w:cs="Times New Roman"/>
          <w:szCs w:val="28"/>
          <w:lang w:val="vi-VN"/>
        </w:rPr>
        <w:t>Công tác lãnh đạo, chỉ đạo và s</w:t>
      </w:r>
      <w:r>
        <w:rPr>
          <w:rFonts w:cs="Times New Roman"/>
          <w:szCs w:val="28"/>
          <w:lang w:val="nl-NL"/>
        </w:rPr>
        <w:t xml:space="preserve">ự vào cuộc của người dân </w:t>
      </w:r>
      <w:r>
        <w:rPr>
          <w:rFonts w:cs="Times New Roman"/>
          <w:szCs w:val="28"/>
          <w:lang w:val="vi-VN"/>
        </w:rPr>
        <w:t xml:space="preserve">ở một số địa bàn </w:t>
      </w:r>
      <w:r>
        <w:rPr>
          <w:rFonts w:cs="Times New Roman"/>
          <w:szCs w:val="28"/>
          <w:lang w:val="nl-NL"/>
        </w:rPr>
        <w:t xml:space="preserve">xây dựng </w:t>
      </w:r>
      <w:r>
        <w:rPr>
          <w:rFonts w:cs="Times New Roman"/>
          <w:szCs w:val="28"/>
          <w:lang w:val="vi-VN"/>
        </w:rPr>
        <w:t>đô thị</w:t>
      </w:r>
      <w:r>
        <w:rPr>
          <w:rFonts w:cs="Times New Roman"/>
          <w:szCs w:val="28"/>
          <w:lang w:val="nl-NL"/>
        </w:rPr>
        <w:t xml:space="preserve"> văn minh</w:t>
      </w:r>
      <w:r>
        <w:rPr>
          <w:rFonts w:cs="Times New Roman"/>
          <w:szCs w:val="28"/>
          <w:lang w:val="vi-VN"/>
        </w:rPr>
        <w:t xml:space="preserve"> </w:t>
      </w:r>
      <w:r>
        <w:rPr>
          <w:rFonts w:cs="Times New Roman"/>
          <w:szCs w:val="28"/>
          <w:lang w:val="nl-NL"/>
        </w:rPr>
        <w:t>chưa đồng đều,</w:t>
      </w:r>
      <w:r>
        <w:rPr>
          <w:rFonts w:cs="Times New Roman"/>
          <w:szCs w:val="28"/>
          <w:lang w:val="vi-VN"/>
        </w:rPr>
        <w:t xml:space="preserve"> chưa </w:t>
      </w:r>
      <w:r>
        <w:rPr>
          <w:rFonts w:cs="Times New Roman"/>
          <w:szCs w:val="28"/>
          <w:lang w:val="nl-NL"/>
        </w:rPr>
        <w:t xml:space="preserve">quyết liệt; một số </w:t>
      </w:r>
      <w:r>
        <w:rPr>
          <w:rFonts w:cs="Times New Roman"/>
          <w:szCs w:val="28"/>
          <w:lang w:val="vi-VN"/>
        </w:rPr>
        <w:t>thị trấn tỷ lệ tiêu chí đạt thấp, còn nhiều khó khăn như: thị trấn Vũ Quang; thị trấn Đồng Lộc; thị trấn Tây Sơn...</w:t>
      </w:r>
      <w:r>
        <w:rPr>
          <w:rFonts w:cs="Times New Roman"/>
          <w:szCs w:val="28"/>
          <w:lang w:val="nl-NL"/>
        </w:rPr>
        <w:t xml:space="preserve"> một số tiêu chí đô thị văn minh còn hạn chế, như: </w:t>
      </w:r>
      <w:r>
        <w:rPr>
          <w:rFonts w:cs="Times New Roman"/>
          <w:szCs w:val="28"/>
          <w:lang w:val="vi-VN"/>
        </w:rPr>
        <w:t>q</w:t>
      </w:r>
      <w:r>
        <w:rPr>
          <w:rFonts w:cs="Times New Roman"/>
          <w:szCs w:val="28"/>
          <w:lang w:val="nl-NL"/>
        </w:rPr>
        <w:t xml:space="preserve">uy hoạch </w:t>
      </w:r>
      <w:r>
        <w:rPr>
          <w:rFonts w:cs="Times New Roman"/>
          <w:szCs w:val="28"/>
          <w:lang w:val="vi-VN"/>
        </w:rPr>
        <w:t xml:space="preserve">xây dựng đô thị </w:t>
      </w:r>
      <w:r>
        <w:rPr>
          <w:rFonts w:cs="Times New Roman"/>
          <w:szCs w:val="28"/>
          <w:lang w:val="nl-NL"/>
        </w:rPr>
        <w:t xml:space="preserve">chưa đồng bộ, công tác giải phóng mặt bằng triển khai các dự án ở một số đô thị kéo dài nhiều năm ảnh hưởng đến cuộc sống người dân cũng như việc </w:t>
      </w:r>
      <w:r>
        <w:rPr>
          <w:rFonts w:cs="Times New Roman"/>
          <w:szCs w:val="28"/>
          <w:lang w:val="nl-NL"/>
        </w:rPr>
        <w:lastRenderedPageBreak/>
        <w:t xml:space="preserve">thực hiện nội dung tiêu </w:t>
      </w:r>
      <w:r>
        <w:rPr>
          <w:rFonts w:cs="Times New Roman"/>
          <w:szCs w:val="28"/>
          <w:lang w:val="vi-VN"/>
        </w:rPr>
        <w:t xml:space="preserve">chí; </w:t>
      </w:r>
      <w:r>
        <w:rPr>
          <w:rFonts w:cs="Times New Roman"/>
          <w:szCs w:val="28"/>
          <w:lang w:val="nl-NL"/>
        </w:rPr>
        <w:t xml:space="preserve">tình trạng vi phạm trật tự đô thị, xây dựng trái phép, lấn chiếm hành lang, vỉa hè, lòng đường vẫn </w:t>
      </w:r>
      <w:r>
        <w:rPr>
          <w:rFonts w:cs="Times New Roman"/>
          <w:szCs w:val="28"/>
          <w:lang w:val="vi-VN"/>
        </w:rPr>
        <w:t>xảy ra nhiều</w:t>
      </w:r>
      <w:r>
        <w:rPr>
          <w:rFonts w:cs="Times New Roman"/>
          <w:szCs w:val="28"/>
          <w:lang w:val="nl-NL"/>
        </w:rPr>
        <w:t xml:space="preserve">. </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center"/>
        <w:rPr>
          <w:rFonts w:cs="Times New Roman"/>
          <w:b/>
          <w:i/>
          <w:spacing w:val="-4"/>
          <w:szCs w:val="28"/>
          <w:lang w:val="nl-NL"/>
        </w:rPr>
      </w:pPr>
      <w:r>
        <w:rPr>
          <w:rFonts w:cs="Times New Roman"/>
          <w:b/>
          <w:szCs w:val="28"/>
          <w:lang w:val="de-DE"/>
        </w:rPr>
        <w:t>Phần thứ hai</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center"/>
        <w:rPr>
          <w:rFonts w:cs="Times New Roman"/>
          <w:b/>
          <w:szCs w:val="28"/>
          <w:lang w:val="nl-NL"/>
        </w:rPr>
      </w:pPr>
      <w:r>
        <w:rPr>
          <w:rFonts w:cs="Times New Roman"/>
          <w:b/>
          <w:szCs w:val="28"/>
          <w:lang w:val="nl-NL"/>
        </w:rPr>
        <w:t>NHIỆM VỤ, GIẢI PHÁP NĂM 2025</w:t>
      </w:r>
    </w:p>
    <w:p w:rsidR="00291AF2" w:rsidRDefault="00291AF2">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center"/>
        <w:rPr>
          <w:rFonts w:cs="Times New Roman"/>
          <w:b/>
          <w:i/>
          <w:spacing w:val="-4"/>
          <w:szCs w:val="28"/>
          <w:lang w:val="nl-NL"/>
        </w:rPr>
      </w:pP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rPr>
          <w:rFonts w:cs="Times New Roman"/>
          <w:b/>
          <w:szCs w:val="28"/>
          <w:lang w:val="nl-NL"/>
        </w:rPr>
      </w:pPr>
      <w:r>
        <w:rPr>
          <w:rFonts w:cs="Times New Roman"/>
          <w:b/>
          <w:szCs w:val="28"/>
          <w:lang w:val="nl-NL"/>
        </w:rPr>
        <w:t>I. QUAN ĐIỂM CHỈ ĐẠO</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b/>
          <w:bCs/>
          <w:spacing w:val="-4"/>
          <w:szCs w:val="28"/>
          <w:lang w:val="pt-BR"/>
        </w:rPr>
      </w:pPr>
      <w:r>
        <w:rPr>
          <w:lang w:val="pt-BR"/>
        </w:rPr>
        <w:t xml:space="preserve">Thực hiện kịp thời, hiệu quả các nội dung kết luận tại Hội nghị sơ kết Nghị quyết số 04-NQ/TU ngày 15/7/2021 của Ban Chấp hành Đảng bộ tỉnh về tập trung lãnh đạo, chỉ đạo thực hiện Đề án “Thí điểm xây dựng tỉnh đạt chuẩn nông thôn mới giai đoạn 2021-2025”. </w:t>
      </w:r>
      <w:r>
        <w:rPr>
          <w:rFonts w:cs="Times New Roman"/>
          <w:szCs w:val="28"/>
          <w:lang w:val="nl-NL"/>
        </w:rPr>
        <w:t>Tập trung, quyết liệt chỉ đạo triển khai thực hiện Chương trình nông thôn mới ở tất cả các cấp, các ngành để hoàn thành mục tiêu tỉnh hoàn thành nhiệm vụ xây dựng nông thôn mới theo Quyết định số 321/QĐ-TTg ngày 8/3/2022 của Thủ tướng Chính phủ</w:t>
      </w:r>
      <w:r>
        <w:rPr>
          <w:bCs/>
          <w:lang w:val="de-DE"/>
        </w:rPr>
        <w:t xml:space="preserve">. </w:t>
      </w:r>
      <w:r>
        <w:rPr>
          <w:rFonts w:cs="Times New Roman"/>
          <w:szCs w:val="28"/>
          <w:lang w:val="da-DK"/>
        </w:rPr>
        <w:t>Quan tâm cao</w:t>
      </w:r>
      <w:r>
        <w:rPr>
          <w:rFonts w:cs="Times New Roman"/>
          <w:szCs w:val="28"/>
          <w:lang w:val="de-DE"/>
        </w:rPr>
        <w:t xml:space="preserve"> việc duy trì bền vững kết quả và nâng cao chất lượng các tiêu chí NTM sau đạt chuẩn; </w:t>
      </w:r>
      <w:r>
        <w:rPr>
          <w:rFonts w:cs="Times New Roman"/>
          <w:szCs w:val="28"/>
          <w:lang w:val="da-DK"/>
        </w:rPr>
        <w:t>d</w:t>
      </w:r>
      <w:r>
        <w:rPr>
          <w:rFonts w:cs="Times New Roman"/>
          <w:szCs w:val="28"/>
          <w:lang w:val="de-DE"/>
        </w:rPr>
        <w:t xml:space="preserve">uy tu, bảo dưỡng các công trình hạ tầng kinh tế - xã hội; </w:t>
      </w:r>
      <w:r>
        <w:rPr>
          <w:rFonts w:cs="Times New Roman"/>
          <w:szCs w:val="28"/>
          <w:lang w:val="nl-NL"/>
        </w:rPr>
        <w:t>đầu tư các công trình nước sạch tập trung; xây dựng hạ tầng kinh tế - xã hội nông thôn đồng bộ và từng bước hiện đại, bảo đảm môi trường, cảnh quan nông thôn sáng, xanh, sạch, đẹp, an toàn, giàu bản sắc văn hóa truyền thống, thích ứng với biến đổi khí hậu và phát triển bền vững. Thực hiện có hiệu quả cơ cấu lại ngành nông nghiệp, nông nghiệp hữu cơ, nâng cao giá trị gia tăng cho các sản phẩm gắn với Chương trình OCOP.</w:t>
      </w:r>
      <w:r>
        <w:rPr>
          <w:rFonts w:cs="Times New Roman"/>
          <w:b/>
          <w:bCs/>
          <w:spacing w:val="-4"/>
          <w:szCs w:val="28"/>
          <w:lang w:val="pt-BR"/>
        </w:rPr>
        <w:tab/>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b/>
          <w:szCs w:val="28"/>
          <w:lang w:val="sq-AL"/>
        </w:rPr>
      </w:pPr>
      <w:r>
        <w:rPr>
          <w:rFonts w:cs="Times New Roman"/>
          <w:b/>
          <w:bCs/>
          <w:spacing w:val="-4"/>
          <w:szCs w:val="28"/>
          <w:lang w:val="pt-BR"/>
        </w:rPr>
        <w:tab/>
        <w:t>I</w:t>
      </w:r>
      <w:r>
        <w:rPr>
          <w:rFonts w:cs="Times New Roman"/>
          <w:b/>
          <w:szCs w:val="28"/>
          <w:lang w:val="sq-AL"/>
        </w:rPr>
        <w:t>I. CHỈ TIÊU KẾ HOẠCH NĂM 2025</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Duy trì 100% xã đạt chuẩn NTM.</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Có thêm 10 xã đạt chuẩn NTM nâng cao.</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Có thêm 5 xã đạt chuẩn NTM kiểu mẫu.</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Phấn đấu 100% huyện, thành phố, thị xã đạt chuẩn/hoàn thành nhiệm vụ xây dựng NTM.</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vi-VN"/>
        </w:rPr>
      </w:pPr>
      <w:r>
        <w:rPr>
          <w:rFonts w:cs="Times New Roman"/>
          <w:bCs/>
          <w:szCs w:val="28"/>
          <w:lang w:val="sq-AL"/>
        </w:rPr>
        <w:tab/>
        <w:t>- C</w:t>
      </w:r>
      <w:r>
        <w:rPr>
          <w:rFonts w:cs="Times New Roman"/>
          <w:bCs/>
          <w:szCs w:val="28"/>
          <w:lang w:val="vi-VN"/>
        </w:rPr>
        <w:t xml:space="preserve">ác huyện </w:t>
      </w:r>
      <w:r>
        <w:rPr>
          <w:rFonts w:cs="Times New Roman"/>
          <w:bCs/>
          <w:szCs w:val="28"/>
          <w:lang w:val="sq-AL"/>
        </w:rPr>
        <w:t>Đức Thọ,</w:t>
      </w:r>
      <w:r>
        <w:rPr>
          <w:rFonts w:cs="Times New Roman"/>
          <w:bCs/>
          <w:szCs w:val="28"/>
          <w:lang w:val="vi-VN"/>
        </w:rPr>
        <w:t xml:space="preserve"> Nghi Xuân</w:t>
      </w:r>
      <w:r>
        <w:rPr>
          <w:rFonts w:cs="Times New Roman"/>
          <w:bCs/>
          <w:szCs w:val="28"/>
          <w:lang w:val="sq-AL"/>
        </w:rPr>
        <w:t xml:space="preserve"> </w:t>
      </w:r>
      <w:r>
        <w:rPr>
          <w:rFonts w:cs="Times New Roman"/>
          <w:bCs/>
          <w:szCs w:val="28"/>
          <w:lang w:val="vi-VN"/>
        </w:rPr>
        <w:t xml:space="preserve">đạt chuẩn </w:t>
      </w:r>
      <w:r>
        <w:rPr>
          <w:rFonts w:cs="Times New Roman"/>
          <w:bCs/>
          <w:szCs w:val="28"/>
          <w:lang w:val="sq-AL"/>
        </w:rPr>
        <w:t xml:space="preserve">huyện </w:t>
      </w:r>
      <w:r>
        <w:rPr>
          <w:rFonts w:cs="Times New Roman"/>
          <w:bCs/>
          <w:szCs w:val="28"/>
          <w:lang w:val="vi-VN"/>
        </w:rPr>
        <w:t>NTM nâng cao</w:t>
      </w:r>
      <w:r>
        <w:rPr>
          <w:rFonts w:cs="Times New Roman"/>
          <w:bCs/>
          <w:szCs w:val="28"/>
          <w:lang w:val="sq-AL"/>
        </w:rPr>
        <w:t>.</w:t>
      </w:r>
      <w:r>
        <w:rPr>
          <w:rFonts w:cs="Times New Roman"/>
          <w:bCs/>
          <w:szCs w:val="28"/>
          <w:lang w:val="vi-VN"/>
        </w:rPr>
        <w:t xml:space="preserve"> Khuyến khích các huyện đã đạt chuẩn chủ động xây dựng kế hoạch và tổ chức thực hiện, phấn đấu đạt chuẩn huyện NTM nâng cao.</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Phấn đấu 100% phường, thị trấn đạt chuẩn đô thị văn minh.</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Có tối thiểu 50 sản phẩm đạt chuẩn OCOP, trong đó có ít nhất 5 sản phẩm đạt chuẩn 4 sao trở lên.</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de-DE"/>
        </w:rPr>
      </w:pPr>
      <w:r>
        <w:rPr>
          <w:rFonts w:cs="Times New Roman"/>
          <w:szCs w:val="28"/>
          <w:lang w:val="de-DE"/>
        </w:rPr>
        <w:tab/>
        <w:t>- Tỉnh Hà Tĩnh được Thủ tướng Chính phủ công nhận tỉnh hoàn thành nhiệm vụ xây dựng NTM.</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de-DE"/>
        </w:rPr>
      </w:pPr>
      <w:r>
        <w:rPr>
          <w:rFonts w:cs="Times New Roman"/>
          <w:szCs w:val="28"/>
          <w:lang w:val="de-DE"/>
        </w:rPr>
        <w:tab/>
      </w:r>
      <w:r>
        <w:rPr>
          <w:rFonts w:cs="Times New Roman"/>
          <w:b/>
          <w:szCs w:val="28"/>
          <w:lang w:val="sq-AL"/>
        </w:rPr>
        <w:t>III. NHIỆM VỤ, GIẢI PHÁP TRỌNG TÂM THỜI GIAN TỚI</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spacing w:val="4"/>
          <w:szCs w:val="28"/>
          <w:lang w:val="de-DE"/>
        </w:rPr>
      </w:pPr>
      <w:r>
        <w:rPr>
          <w:rFonts w:cs="Times New Roman"/>
          <w:b/>
          <w:bCs/>
          <w:szCs w:val="28"/>
          <w:lang w:val="vi-VN"/>
        </w:rPr>
        <w:t>1.</w:t>
      </w:r>
      <w:r>
        <w:rPr>
          <w:rFonts w:cs="Times New Roman"/>
          <w:bCs/>
          <w:szCs w:val="28"/>
          <w:lang w:val="vi-VN"/>
        </w:rPr>
        <w:t xml:space="preserve"> </w:t>
      </w:r>
      <w:r>
        <w:rPr>
          <w:rFonts w:cs="Times New Roman"/>
          <w:spacing w:val="4"/>
          <w:szCs w:val="28"/>
          <w:lang w:val="da-DK"/>
        </w:rPr>
        <w:t xml:space="preserve">Tăng cường </w:t>
      </w:r>
      <w:r>
        <w:rPr>
          <w:rFonts w:cs="Times New Roman"/>
          <w:spacing w:val="4"/>
          <w:szCs w:val="28"/>
          <w:lang w:val="sv-SE" w:eastAsia="vi-VN"/>
        </w:rPr>
        <w:t xml:space="preserve">hơn nữa công tác tuyên truyền, đào tạo, tập huấn nhằm thống nhất nhận thức, thay đổi tư duy cho cán bộ và người dân về thực hiện xây dựng NTM gắn với xây dựng </w:t>
      </w:r>
      <w:r>
        <w:rPr>
          <w:rFonts w:cs="Times New Roman"/>
          <w:i/>
          <w:spacing w:val="4"/>
          <w:szCs w:val="28"/>
          <w:lang w:val="sv-SE"/>
        </w:rPr>
        <w:t>“</w:t>
      </w:r>
      <w:r>
        <w:rPr>
          <w:rFonts w:cs="Times New Roman"/>
          <w:i/>
          <w:spacing w:val="4"/>
          <w:szCs w:val="28"/>
          <w:lang w:val="sv-SE" w:eastAsia="vi-VN"/>
        </w:rPr>
        <w:t>Nông nghiệp sinh thái, nông thôn hiện đại, nông dân văn minh”</w:t>
      </w:r>
      <w:r>
        <w:rPr>
          <w:rFonts w:cs="Times New Roman"/>
          <w:spacing w:val="4"/>
          <w:szCs w:val="28"/>
          <w:lang w:val="sv-SE" w:eastAsia="vi-VN"/>
        </w:rPr>
        <w:t xml:space="preserve">, đặc biệt là phát triển kinh tế nông thôn theo hướng chuyển từ đơn giá trị sang đa giá trị; </w:t>
      </w:r>
      <w:r>
        <w:rPr>
          <w:rFonts w:cs="Times New Roman"/>
          <w:iCs/>
          <w:spacing w:val="4"/>
          <w:szCs w:val="28"/>
          <w:lang w:val="sv-SE" w:eastAsia="vi-VN"/>
        </w:rPr>
        <w:t>nâng</w:t>
      </w:r>
      <w:r>
        <w:rPr>
          <w:rFonts w:cs="Times New Roman"/>
          <w:spacing w:val="4"/>
          <w:szCs w:val="28"/>
          <w:lang w:val="sv-SE" w:eastAsia="vi-VN"/>
        </w:rPr>
        <w:t xml:space="preserve"> cao chất lượng các phong trào thi đua xây dựng NTM, </w:t>
      </w:r>
      <w:r>
        <w:rPr>
          <w:rFonts w:cs="Times New Roman"/>
          <w:spacing w:val="4"/>
          <w:szCs w:val="28"/>
          <w:lang w:val="vi-VN" w:eastAsia="vi-VN"/>
        </w:rPr>
        <w:t xml:space="preserve">nhất là đưa </w:t>
      </w:r>
      <w:r>
        <w:rPr>
          <w:rFonts w:cs="Times New Roman"/>
          <w:spacing w:val="4"/>
          <w:szCs w:val="28"/>
          <w:lang w:val="sv-SE" w:eastAsia="vi-VN"/>
        </w:rPr>
        <w:t xml:space="preserve">phong trào </w:t>
      </w:r>
      <w:r>
        <w:rPr>
          <w:rFonts w:cs="Times New Roman"/>
          <w:i/>
          <w:spacing w:val="4"/>
          <w:szCs w:val="28"/>
          <w:lang w:val="sv-SE"/>
        </w:rPr>
        <w:t>“</w:t>
      </w:r>
      <w:r>
        <w:rPr>
          <w:rFonts w:cs="Times New Roman"/>
          <w:i/>
          <w:spacing w:val="4"/>
          <w:szCs w:val="28"/>
          <w:lang w:val="sv-SE" w:eastAsia="vi-VN"/>
        </w:rPr>
        <w:t>Cả tỉnh chung sức xây dựng NTM”</w:t>
      </w:r>
      <w:r>
        <w:rPr>
          <w:rFonts w:cs="Times New Roman"/>
          <w:spacing w:val="4"/>
          <w:szCs w:val="28"/>
          <w:lang w:val="sv-SE" w:eastAsia="vi-VN"/>
        </w:rPr>
        <w:t xml:space="preserve"> </w:t>
      </w:r>
      <w:r>
        <w:rPr>
          <w:rFonts w:cs="Times New Roman"/>
          <w:spacing w:val="4"/>
          <w:szCs w:val="28"/>
          <w:lang w:val="vi-VN"/>
        </w:rPr>
        <w:t>và cuộc vận động “</w:t>
      </w:r>
      <w:r>
        <w:rPr>
          <w:rFonts w:cs="Times New Roman"/>
          <w:i/>
          <w:spacing w:val="4"/>
          <w:szCs w:val="28"/>
          <w:lang w:val="vi-VN"/>
        </w:rPr>
        <w:t xml:space="preserve">Toàn dân đoàn kết xây dựng </w:t>
      </w:r>
      <w:r>
        <w:rPr>
          <w:rFonts w:cs="Times New Roman"/>
          <w:i/>
          <w:spacing w:val="4"/>
          <w:szCs w:val="28"/>
          <w:lang w:val="sv-SE"/>
        </w:rPr>
        <w:t>NTM</w:t>
      </w:r>
      <w:r>
        <w:rPr>
          <w:rFonts w:cs="Times New Roman"/>
          <w:i/>
          <w:spacing w:val="4"/>
          <w:szCs w:val="28"/>
          <w:lang w:val="vi-VN"/>
        </w:rPr>
        <w:t>, đô thị văn minh</w:t>
      </w:r>
      <w:r>
        <w:rPr>
          <w:rFonts w:cs="Times New Roman"/>
          <w:spacing w:val="4"/>
          <w:szCs w:val="28"/>
          <w:lang w:val="vi-VN"/>
        </w:rPr>
        <w:t>”</w:t>
      </w:r>
      <w:r>
        <w:rPr>
          <w:rFonts w:cs="Times New Roman"/>
          <w:spacing w:val="4"/>
          <w:szCs w:val="28"/>
          <w:lang w:val="de-DE"/>
        </w:rPr>
        <w:t xml:space="preserve"> </w:t>
      </w:r>
      <w:r>
        <w:rPr>
          <w:rFonts w:cs="Times New Roman"/>
          <w:spacing w:val="4"/>
          <w:szCs w:val="28"/>
          <w:lang w:val="sv-SE"/>
        </w:rPr>
        <w:t xml:space="preserve">giai đoạn 2021-2025, cũng như các phong trào thi đua, cuộc vận động của các tổ chức chính trị </w:t>
      </w:r>
      <w:r>
        <w:rPr>
          <w:rFonts w:cs="Times New Roman"/>
          <w:spacing w:val="4"/>
          <w:szCs w:val="28"/>
          <w:lang w:val="sv-SE"/>
        </w:rPr>
        <w:lastRenderedPageBreak/>
        <w:t>- xã hội ngày càng đi vào chiều sâu, tạo sự lan tỏa rộng lớn trong cả hệ thống chính trị và mọi tầng lớp Nhân</w:t>
      </w:r>
      <w:r>
        <w:rPr>
          <w:rFonts w:cs="Times New Roman"/>
          <w:spacing w:val="4"/>
          <w:szCs w:val="28"/>
          <w:lang w:val="vi-VN"/>
        </w:rPr>
        <w:t xml:space="preserve"> dân.</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b/>
          <w:bCs/>
          <w:lang w:val="de-DE"/>
        </w:rPr>
      </w:pPr>
      <w:r>
        <w:rPr>
          <w:rFonts w:cs="Times New Roman"/>
          <w:b/>
          <w:bCs/>
          <w:spacing w:val="-2"/>
          <w:szCs w:val="28"/>
          <w:lang w:val="sv-SE"/>
        </w:rPr>
        <w:t xml:space="preserve">2. </w:t>
      </w:r>
      <w:r>
        <w:rPr>
          <w:rFonts w:eastAsia="Calibri"/>
          <w:b/>
          <w:bCs/>
          <w:lang w:val="nl-NL"/>
        </w:rPr>
        <w:t>T</w:t>
      </w:r>
      <w:r>
        <w:rPr>
          <w:b/>
          <w:bCs/>
          <w:lang w:val="de-DE"/>
        </w:rPr>
        <w:t xml:space="preserve">ập trung cao thực hiện mục tiêu tỉnh hoàn thành nhiệm vụ xây dựng NTM </w:t>
      </w:r>
      <w:r>
        <w:rPr>
          <w:rFonts w:cs="Times New Roman"/>
          <w:b/>
          <w:bCs/>
          <w:szCs w:val="28"/>
          <w:lang w:val="nl-NL"/>
        </w:rPr>
        <w:t>theo Quyết định 321/QĐ-TTg ngày 8/3/2022 của Thủ tướng Chính phủ</w:t>
      </w:r>
      <w:r>
        <w:rPr>
          <w:b/>
          <w:bCs/>
          <w:lang w:val="de-DE"/>
        </w:rPr>
        <w:t>, phấn đấu hoàn thành hồ sơ trình các Bộ, ngành Trung ương thẩm định trước ngày 30/6/2025; trọng tâm một số nhiệm vụ sau:</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bCs/>
          <w:lang w:val="de-DE"/>
        </w:rPr>
      </w:pPr>
      <w:r>
        <w:rPr>
          <w:b/>
          <w:bCs/>
          <w:i/>
          <w:lang w:val="de-DE"/>
        </w:rPr>
        <w:t xml:space="preserve">2.1 Củng cố, nâng cấp đối với 5 yêu cầu đã đạt chuẩn của tỉnh hoàn thành nhiệm vụ xây dựng NTM; </w:t>
      </w:r>
      <w:r>
        <w:rPr>
          <w:bCs/>
          <w:lang w:val="de-DE"/>
        </w:rPr>
        <w:t>trọng tâm là: Tiếp tục làm tốt công tác</w:t>
      </w:r>
      <w:r>
        <w:rPr>
          <w:b/>
          <w:bCs/>
          <w:i/>
          <w:lang w:val="de-DE"/>
        </w:rPr>
        <w:t xml:space="preserve"> </w:t>
      </w:r>
      <w:r>
        <w:rPr>
          <w:bCs/>
          <w:lang w:val="de-DE"/>
        </w:rPr>
        <w:t>trồng, bảo vệ, chăm sóc hệ thống cây xanh dọc tuyến đường huyện, đường tỉnh, quốc lộ, đất cây xanh sử dụng công cộng trên địa bàn tỉnh đảm bảo đồng bộ, mỹ quan; tiếp tục thực hiện</w:t>
      </w:r>
      <w:r>
        <w:rPr>
          <w:bCs/>
          <w:i/>
          <w:lang w:val="de-DE"/>
        </w:rPr>
        <w:t xml:space="preserve"> </w:t>
      </w:r>
      <w:r>
        <w:rPr>
          <w:lang w:val="nl-NL"/>
        </w:rPr>
        <w:t>tốt các giải pháp nâng cao c</w:t>
      </w:r>
      <w:r>
        <w:rPr>
          <w:lang w:val="vi-VN"/>
        </w:rPr>
        <w:t xml:space="preserve">hỉ số hài lòng của người dân, tổ chức đối với sự phục vụ của cơ quan hành chính nhà nước thuộc tỉnh, thành phố trực thuộc trung ương quản lý </w:t>
      </w:r>
      <w:r>
        <w:rPr>
          <w:lang w:val="nl-NL"/>
        </w:rPr>
        <w:t>(SIPAS)</w:t>
      </w:r>
      <w:r>
        <w:rPr>
          <w:i/>
          <w:lang w:val="nl-NL"/>
        </w:rPr>
        <w:t xml:space="preserve">; </w:t>
      </w:r>
      <w:r>
        <w:rPr>
          <w:bCs/>
          <w:lang w:val="de-DE"/>
        </w:rPr>
        <w:t>các xã đã đạt chuẩn NTM nâng cao (69 xã) tiếp tục củng cố, nâng cao chất lượng đạt chuẩn các tiêu chí, phấn đấu đạt chuẩn bền vững.</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b/>
          <w:bCs/>
          <w:i/>
          <w:lang w:val="de-DE"/>
        </w:rPr>
      </w:pPr>
      <w:r>
        <w:rPr>
          <w:b/>
          <w:bCs/>
          <w:i/>
          <w:lang w:val="de-DE"/>
        </w:rPr>
        <w:t>2.2 Tập trung cao chỉ đạo đối với 3 yêu cầu chưa đạt chuẩn của tỉnh hoàn thành nhiệm vụ xây dựng NTM; phấn đấu đạt chuẩn bền vững, cụ thể:</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(1) </w:t>
      </w:r>
      <w:r>
        <w:rPr>
          <w:i/>
          <w:lang w:val="vi-VN"/>
        </w:rPr>
        <w:t xml:space="preserve">Có 100% số huyện trên địa bàn đạt chuẩn </w:t>
      </w:r>
      <w:r>
        <w:rPr>
          <w:i/>
          <w:lang w:val="nl-NL"/>
        </w:rPr>
        <w:t>NTM</w:t>
      </w:r>
      <w:r>
        <w:rPr>
          <w:i/>
          <w:lang w:val="vi-VN"/>
        </w:rPr>
        <w:t xml:space="preserve"> giai đoạn 2021 - 2025</w:t>
      </w:r>
      <w:r>
        <w:rPr>
          <w:i/>
          <w:lang w:val="nl-NL"/>
        </w:rPr>
        <w:t>:</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Đối với huyện đã đạt chuẩn NTM:</w:t>
      </w:r>
      <w:r>
        <w:rPr>
          <w:lang w:val="nl-NL"/>
        </w:rPr>
        <w:t xml:space="preserve"> </w:t>
      </w:r>
      <w:r>
        <w:rPr>
          <w:rFonts w:eastAsia="Calibri"/>
          <w:bCs/>
          <w:spacing w:val="-2"/>
          <w:lang w:val="de-DE"/>
        </w:rPr>
        <w:t>Tập trung lãnh đạo, chỉ đạo để hoàn thành việc cập nhật các tiêu chí và tổ chức thực hiện đảm bảo đạt chuẩn theo yêu cầu Bộ tiêu chí giai đoạn 2021-2025,</w:t>
      </w:r>
      <w:r>
        <w:rPr>
          <w:rFonts w:eastAsia="Calibri"/>
          <w:bCs/>
          <w:spacing w:val="-2"/>
          <w:lang w:val="nb-NO"/>
        </w:rPr>
        <w:t xml:space="preserve"> nhất là các tiêu chí như Kinh tế, Môi trường, Chất lượng môi trường sống; </w:t>
      </w:r>
      <w:r>
        <w:rPr>
          <w:rFonts w:eastAsia="Calibri"/>
          <w:bCs/>
          <w:spacing w:val="-2"/>
          <w:lang w:val="de-DE"/>
        </w:rPr>
        <w:t>100% thị trấn đạt chuẩn đô thị văn minh...</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lang w:val="de-DE"/>
        </w:rPr>
      </w:pPr>
      <w:r>
        <w:rPr>
          <w:rFonts w:eastAsia="Calibri"/>
          <w:bCs/>
          <w:i/>
          <w:lang w:val="de-DE"/>
        </w:rPr>
        <w:tab/>
        <w:t xml:space="preserve">+ Đối với huyện chưa đạt chuẩn: </w:t>
      </w:r>
      <w:r>
        <w:rPr>
          <w:rFonts w:eastAsia="Calibri"/>
          <w:bCs/>
          <w:lang w:val="de-DE"/>
        </w:rPr>
        <w:t>Huyện  Hương Khê hoàn thiện hồ sơ trình Trung ương thẩm định, xét, công nhận huyện đạt chuẩn NTM; đồng thời tiếp tục tập trung chỉ đạo củng cố, nâng cấp các tiêu chí cấp xã, cấp huyện, đảm bảo đạt chuẩn bền vững</w:t>
      </w:r>
      <w:r>
        <w:rPr>
          <w:i/>
          <w:lang w:val="de-DE"/>
        </w:rPr>
        <w:t>.</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lang w:val="de-DE"/>
        </w:rPr>
      </w:pPr>
      <w:r>
        <w:rPr>
          <w:i/>
          <w:lang w:val="de-DE"/>
        </w:rPr>
        <w:tab/>
      </w:r>
      <w:r>
        <w:rPr>
          <w:i/>
          <w:lang w:val="nl-NL"/>
        </w:rPr>
        <w:t>(2)</w:t>
      </w:r>
      <w:r>
        <w:rPr>
          <w:i/>
          <w:lang w:val="vi-VN"/>
        </w:rPr>
        <w:t xml:space="preserve"> Có 100% số thị xã, thành phố trên địa bàn hoàn thành nhiệm vụ xây dựng </w:t>
      </w:r>
      <w:r>
        <w:rPr>
          <w:i/>
          <w:lang w:val="nl-NL"/>
        </w:rPr>
        <w:t>NTM</w:t>
      </w:r>
      <w:r>
        <w:rPr>
          <w:i/>
          <w:lang w:val="vi-VN"/>
        </w:rPr>
        <w:t xml:space="preserve"> giai đoạn 2021 – 2025</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de-DE"/>
        </w:rPr>
        <w:t xml:space="preserve">+ Đối với thành phố Hà Tĩnh: </w:t>
      </w:r>
      <w:r>
        <w:rPr>
          <w:rFonts w:eastAsia="Calibri"/>
          <w:bCs/>
          <w:spacing w:val="-2"/>
          <w:lang w:val="de-DE"/>
        </w:rPr>
        <w:t>Tập trung lãnh đạo, chỉ đạo và ưu tiên nguồn lực để hoàn thành việc cập nhật các tiêu chí và tổ chức thực hiện đảm bảo đạt chuẩn theo yêu cầu Bộ tiêu chí giai đoạn 2021-2025,</w:t>
      </w:r>
      <w:r>
        <w:rPr>
          <w:rFonts w:eastAsia="Calibri"/>
          <w:bCs/>
          <w:spacing w:val="-2"/>
          <w:lang w:val="nb-NO"/>
        </w:rPr>
        <w:t xml:space="preserve"> nhất là các tiêu chí ở cấp xã như Thu nhập, Môi trường, Chất lượng môi trường sống, Khu dân cư kiểu mẫu</w:t>
      </w:r>
      <w:r>
        <w:rPr>
          <w:rFonts w:eastAsia="Calibri"/>
          <w:bCs/>
          <w:spacing w:val="-2"/>
          <w:lang w:val="de-DE"/>
        </w:rPr>
        <w:t>....và củng cố, hoàn thiện tiêu chí đô thị văn minh ở các phường, nhất là đối với một số xã mới chuyển lên phường.</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szCs w:val="28"/>
          <w:lang w:val="sq-AL"/>
        </w:rPr>
      </w:pPr>
      <w:r>
        <w:rPr>
          <w:i/>
          <w:lang w:val="nl-NL"/>
        </w:rPr>
        <w:tab/>
        <w:t>+</w:t>
      </w:r>
      <w:r>
        <w:rPr>
          <w:rFonts w:cs="Times New Roman"/>
          <w:szCs w:val="28"/>
          <w:lang w:val="nl-NL"/>
        </w:rPr>
        <w:t xml:space="preserve"> </w:t>
      </w:r>
      <w:r>
        <w:rPr>
          <w:rFonts w:eastAsia="Calibri"/>
          <w:bCs/>
          <w:i/>
          <w:lang w:val="sq-AL"/>
        </w:rPr>
        <w:t xml:space="preserve">Đối với </w:t>
      </w:r>
      <w:r>
        <w:rPr>
          <w:rFonts w:cs="Times New Roman"/>
          <w:i/>
          <w:szCs w:val="28"/>
          <w:lang w:val="sq-AL"/>
        </w:rPr>
        <w:t>UBND thị xã Kỳ Anh, UBND thị xã Hồng Lĩnh</w:t>
      </w:r>
      <w:r>
        <w:rPr>
          <w:rFonts w:cs="Times New Roman"/>
          <w:szCs w:val="28"/>
          <w:lang w:val="sq-AL"/>
        </w:rPr>
        <w:t>: Tập trung cao và có giải pháp cụ thể khắc phục triệt để các tồn tại, hạn chế đối với các tiêu chí sở ngành đánh giá và có kế hoạch, lộ trình khắc phục đối với  một số nội dung người dân còn băn khoăn, kiến nghị, đảm bảo thị xã hoàn thành nhiệm vụ xây dựng NTM bền vững, có chiều sâu. Phối hợp chặt chẽ với Sở Nông nghiệp và Môi trường, Văn phòng Điều phối NTM tỉnh để hoàn thiện hồ sơ trình Trung ương thẩm định, xét công nhận hoàn thành nhiệm vụ xây dựng NTM.</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bCs/>
          <w:lang w:val="sq-AL"/>
        </w:rPr>
      </w:pPr>
      <w:r>
        <w:rPr>
          <w:rFonts w:cs="Times New Roman"/>
          <w:szCs w:val="28"/>
          <w:lang w:val="sq-AL"/>
        </w:rPr>
        <w:tab/>
      </w:r>
      <w:r>
        <w:rPr>
          <w:i/>
          <w:lang w:val="nl-NL"/>
        </w:rPr>
        <w:t xml:space="preserve">(3) </w:t>
      </w:r>
      <w:r>
        <w:rPr>
          <w:i/>
          <w:lang w:val="vi-VN"/>
        </w:rPr>
        <w:t xml:space="preserve">Có ít nhất 20% số huyện trên địa bàn đạt chuẩn </w:t>
      </w:r>
      <w:r>
        <w:rPr>
          <w:i/>
          <w:lang w:val="nl-NL"/>
        </w:rPr>
        <w:t>NTM</w:t>
      </w:r>
      <w:r>
        <w:rPr>
          <w:i/>
          <w:lang w:val="vi-VN"/>
        </w:rPr>
        <w:t xml:space="preserve"> nâng cao giai đoạn 2021 </w:t>
      </w:r>
      <w:r>
        <w:rPr>
          <w:i/>
          <w:lang w:val="nl-NL"/>
        </w:rPr>
        <w:t>-</w:t>
      </w:r>
      <w:r>
        <w:rPr>
          <w:i/>
          <w:lang w:val="vi-VN"/>
        </w:rPr>
        <w:t xml:space="preserve"> 2025</w:t>
      </w:r>
      <w:r>
        <w:rPr>
          <w:i/>
          <w:lang w:val="nl-NL"/>
        </w:rPr>
        <w:t xml:space="preserve">: </w:t>
      </w:r>
      <w:r>
        <w:rPr>
          <w:bCs/>
          <w:lang w:val="sq-AL"/>
        </w:rPr>
        <w:t xml:space="preserve">Huyện Đức Thọ và Nghi Xuân tập trung củng cố, khắc phục các tồn tại, hạn chế đối với các nội dung, tiêu chí còn tồn tại; các huyện Thạch Hà và Can Lộc </w:t>
      </w:r>
      <w:r>
        <w:rPr>
          <w:bCs/>
          <w:lang w:val="nl-NL"/>
        </w:rPr>
        <w:t>đ</w:t>
      </w:r>
      <w:r>
        <w:rPr>
          <w:bCs/>
          <w:lang w:val="sq-AL"/>
        </w:rPr>
        <w:t xml:space="preserve">ẩy nhanh tiến độ thực hiện các tiêu chí, chỉ tiêu huyện NTM, huyện </w:t>
      </w:r>
      <w:r>
        <w:rPr>
          <w:bCs/>
          <w:lang w:val="sq-AL"/>
        </w:rPr>
        <w:lastRenderedPageBreak/>
        <w:t>NTM nâng cao chưa đạt chuẩn, hoàn thiện hồ sơ trình tỉnh thẩm tra xét, đề nghị công nhận huyện đạt chuẩn NTM nâng cao khi đảm bảo yêu cầu.</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szCs w:val="28"/>
          <w:lang w:val="nl-NL"/>
        </w:rPr>
      </w:pPr>
      <w:r>
        <w:rPr>
          <w:bCs/>
          <w:lang w:val="sq-AL"/>
        </w:rPr>
        <w:tab/>
      </w:r>
      <w:r>
        <w:rPr>
          <w:rFonts w:cs="Times New Roman"/>
          <w:b/>
          <w:bCs/>
          <w:szCs w:val="28"/>
          <w:lang w:val="de-DE"/>
        </w:rPr>
        <w:t xml:space="preserve">3. </w:t>
      </w:r>
      <w:r>
        <w:rPr>
          <w:szCs w:val="28"/>
          <w:lang w:val="nl-NL"/>
        </w:rPr>
        <w:t xml:space="preserve">Các sở, ngành, địa phương: Tổ chức thực hiện có hiệu quả các kế hoạch thực hiện Chương trình NTM ở cấp mình, gắn với thực hiện các chỉ tiêu, mục tiêu giai đoạn 2021-2025, nhất là tập trung cao hoàn thiện đối với 3 yêu cầu tỉnh hoàn thành nhiệm vụ xây dựng NTM chưa đạt, phấn đấu đạt chuẩn tỉnh hoàn thành nhiệm vụ xây dựng NTM; </w:t>
      </w:r>
      <w:r>
        <w:rPr>
          <w:rFonts w:cs="Times New Roman"/>
          <w:spacing w:val="4"/>
          <w:szCs w:val="28"/>
          <w:lang w:val="da-DK"/>
        </w:rPr>
        <w:t>tổng kết Chương trình giai đoạn 2021-2025 ở các cấp để đánh giá, rút kinh nghiệm, làm cơ sở định hướng mục tiêu, nhiệm vụ, giải pháp thực hiện Chương trình giai đoạn 2026-2030</w:t>
      </w:r>
      <w:r>
        <w:rPr>
          <w:szCs w:val="28"/>
          <w:lang w:val="nl-NL"/>
        </w:rPr>
        <w:t xml:space="preserve">. </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szCs w:val="28"/>
          <w:lang w:val="nl-NL"/>
        </w:rPr>
      </w:pPr>
      <w:r>
        <w:rPr>
          <w:szCs w:val="28"/>
          <w:lang w:val="nl-NL"/>
        </w:rPr>
        <w:tab/>
      </w:r>
      <w:r>
        <w:rPr>
          <w:b/>
          <w:szCs w:val="28"/>
          <w:lang w:val="nl-NL"/>
        </w:rPr>
        <w:t>4</w:t>
      </w:r>
      <w:r>
        <w:rPr>
          <w:szCs w:val="28"/>
          <w:lang w:val="nl-NL"/>
        </w:rPr>
        <w:t>. Các sở ngành tập trung cao một số nội dung trọng tâm sau:</w:t>
      </w:r>
      <w:r>
        <w:rPr>
          <w:i/>
          <w:szCs w:val="28"/>
          <w:lang w:val="nl-NL"/>
        </w:rPr>
        <w:tab/>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szCs w:val="28"/>
          <w:lang w:val="nl-NL"/>
        </w:rPr>
      </w:pPr>
      <w:r>
        <w:rPr>
          <w:i/>
          <w:szCs w:val="28"/>
          <w:lang w:val="nl-NL"/>
        </w:rPr>
        <w:tab/>
      </w:r>
      <w:r>
        <w:rPr>
          <w:szCs w:val="28"/>
          <w:lang w:val="nl-NL"/>
        </w:rPr>
        <w:t>- Các</w:t>
      </w:r>
      <w:r>
        <w:rPr>
          <w:rFonts w:cs="Times New Roman"/>
          <w:szCs w:val="28"/>
          <w:lang w:val="nl-NL"/>
        </w:rPr>
        <w:t xml:space="preserve"> Sở, ngành được giao phụ trách các chương trình chuyên đề: Sở Nông</w:t>
      </w:r>
      <w:r>
        <w:rPr>
          <w:szCs w:val="28"/>
          <w:lang w:val="nl-NL"/>
        </w:rPr>
        <w:t xml:space="preserve"> </w:t>
      </w:r>
      <w:r>
        <w:rPr>
          <w:rFonts w:cs="Times New Roman"/>
          <w:szCs w:val="28"/>
          <w:lang w:val="nl-NL"/>
        </w:rPr>
        <w:t>nghiệp và Môi trường</w:t>
      </w:r>
      <w:r>
        <w:rPr>
          <w:rStyle w:val="FootnoteReference"/>
          <w:rFonts w:cs="Times New Roman"/>
          <w:szCs w:val="28"/>
          <w:lang w:val="nl-NL"/>
        </w:rPr>
        <w:footnoteReference w:id="27"/>
      </w:r>
      <w:r>
        <w:rPr>
          <w:rFonts w:cs="Times New Roman"/>
          <w:szCs w:val="28"/>
          <w:lang w:val="nl-NL"/>
        </w:rPr>
        <w:t>, Văn hóa - Thể thao và Du lịch</w:t>
      </w:r>
      <w:r>
        <w:rPr>
          <w:rStyle w:val="FootnoteReference"/>
          <w:rFonts w:cs="Times New Roman"/>
          <w:szCs w:val="28"/>
          <w:lang w:val="nl-NL"/>
        </w:rPr>
        <w:footnoteReference w:id="28"/>
      </w:r>
      <w:r>
        <w:rPr>
          <w:rFonts w:cs="Times New Roman"/>
          <w:szCs w:val="28"/>
          <w:lang w:val="nl-NL"/>
        </w:rPr>
        <w:t>; Khoa học và</w:t>
      </w:r>
      <w:r>
        <w:rPr>
          <w:szCs w:val="28"/>
          <w:lang w:val="nl-NL"/>
        </w:rPr>
        <w:t xml:space="preserve"> </w:t>
      </w:r>
      <w:r>
        <w:rPr>
          <w:rFonts w:cs="Times New Roman"/>
          <w:szCs w:val="28"/>
          <w:lang w:val="nl-NL"/>
        </w:rPr>
        <w:t>Công nghệ</w:t>
      </w:r>
      <w:r>
        <w:rPr>
          <w:rStyle w:val="FootnoteReference"/>
          <w:rFonts w:cs="Times New Roman"/>
          <w:szCs w:val="28"/>
          <w:lang w:val="nl-NL"/>
        </w:rPr>
        <w:footnoteReference w:id="29"/>
      </w:r>
      <w:r>
        <w:rPr>
          <w:rFonts w:cs="Times New Roman"/>
          <w:szCs w:val="28"/>
          <w:lang w:val="nl-NL"/>
        </w:rPr>
        <w:t>; Công an tỉnh</w:t>
      </w:r>
      <w:r>
        <w:rPr>
          <w:rStyle w:val="FootnoteReference"/>
          <w:rFonts w:cs="Times New Roman"/>
          <w:szCs w:val="28"/>
          <w:lang w:val="nl-NL"/>
        </w:rPr>
        <w:footnoteReference w:id="30"/>
      </w:r>
      <w:r>
        <w:rPr>
          <w:rFonts w:cs="Times New Roman"/>
          <w:szCs w:val="28"/>
          <w:lang w:val="nl-NL"/>
        </w:rPr>
        <w:t>:</w:t>
      </w:r>
      <w:r>
        <w:rPr>
          <w:i/>
          <w:szCs w:val="28"/>
          <w:lang w:val="nl-NL"/>
        </w:rPr>
        <w:t xml:space="preserve"> </w:t>
      </w:r>
      <w:r>
        <w:rPr>
          <w:szCs w:val="28"/>
          <w:lang w:val="nl-NL"/>
        </w:rPr>
        <w:t>Tiếp tục chỉ đạo triển khai thực hiện các chương trình chuyên đề theo kế hoạch đã được phê duyệt, đảm bảo chất lượng, hiệu quả;</w:t>
      </w:r>
      <w:r>
        <w:rPr>
          <w:i/>
          <w:szCs w:val="28"/>
          <w:lang w:val="nl-NL"/>
        </w:rPr>
        <w:t xml:space="preserve"> </w:t>
      </w:r>
      <w:r>
        <w:rPr>
          <w:szCs w:val="28"/>
          <w:lang w:val="nl-NL"/>
        </w:rPr>
        <w:t>đôn đốc, chỉ đạo các địa phương, đơn vị tập trung giải ngân nguồn kinh phí Ngân sách Trung ương phân bổ thực hiện các Chương trình chuyên đề; thực hiện các mô hình thí điểm của Trung ương.</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t xml:space="preserve">- Sở Nông nghiệp và Môi trường: </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t xml:space="preserve">+ Chỉ đạo đẩy nhanh tiến độ thực hiện các công trình nước sạch tập trung trên địa bàn; </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t>+ Phối hợp với Văn phòng Điều phối NTM tỉnh tham mưu UBND tỉnh phân công nhiệm vụ các sở ngành phụ trách các nội dung tiêu chí đối với các sở ngành sau sáp nhập/thay đổi chức năng, nhiệm vụ;</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t>+ Tham mưu UBND tỉnh triển khai các nội dung về xây dựng NTM đối với các đơn vị hành chính cấp xã, huyện hình thành sau sắp xếp theo Văn bản số 267/BNN-VPĐP ngày 09/01/2024 của Bộ Nông nghiệp và PTNT.</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szCs w:val="28"/>
          <w:lang w:val="nl-NL"/>
        </w:rPr>
        <w:t>+ Chỉ đạo thực hiện có hiệu quả</w:t>
      </w:r>
      <w:r>
        <w:rPr>
          <w:rFonts w:eastAsia="Times New Roman" w:cs="Times New Roman"/>
          <w:bCs/>
          <w:szCs w:val="28"/>
          <w:lang w:val="nl-NL"/>
        </w:rPr>
        <w:t xml:space="preserve"> </w:t>
      </w:r>
      <w:r>
        <w:rPr>
          <w:rFonts w:cs="Times New Roman"/>
          <w:spacing w:val="-4"/>
          <w:szCs w:val="28"/>
          <w:lang w:val="nl-NL"/>
        </w:rPr>
        <w:t>Đề án thu gom, vận chuyển, xử lý chất thải rắn sinh hoạt trên địa bàn tỉnh đến năm 2025 và những năm tiếp theo trên từng địa bàn cụ thể; đồng thời</w:t>
      </w:r>
      <w:r>
        <w:rPr>
          <w:rFonts w:cs="Times New Roman"/>
          <w:szCs w:val="28"/>
          <w:lang w:val="nl-NL"/>
        </w:rPr>
        <w:t xml:space="preserve"> rà soát các quy hoạch liên quan đến hoạt động thu gom, tập kết, vận chuyển, xử lý chất thải rắn sinh hoạt, các loại chất thải khác theo đề án, chương trình, kế hoạch, quy định đã ban hành để xây dựng, cải tạo, xử lý đảm bảo vệ sinh môi trường trên địa bàn.</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szCs w:val="28"/>
          <w:lang w:val="nl-NL"/>
        </w:rPr>
        <w:t>- Sở Văn hóa, Thể thao và Du lịch: chỉ đạo</w:t>
      </w:r>
      <w:r>
        <w:rPr>
          <w:rFonts w:cs="Times New Roman"/>
          <w:szCs w:val="28"/>
          <w:lang w:val="nl-NL"/>
        </w:rPr>
        <w:t>, hướng dẫn các địa phương tổ chức thực hiện Quyết</w:t>
      </w:r>
      <w:r>
        <w:rPr>
          <w:szCs w:val="28"/>
          <w:lang w:val="nl-NL"/>
        </w:rPr>
        <w:t xml:space="preserve"> </w:t>
      </w:r>
      <w:r>
        <w:rPr>
          <w:rFonts w:cs="Times New Roman"/>
          <w:szCs w:val="28"/>
          <w:lang w:val="nl-NL"/>
        </w:rPr>
        <w:t>định số 04/2022/QĐ-TTg ngày 18/2/2022 của Thủ tướng chỉnh phủ về việc Quy</w:t>
      </w:r>
      <w:r>
        <w:rPr>
          <w:szCs w:val="28"/>
          <w:lang w:val="nl-NL"/>
        </w:rPr>
        <w:t xml:space="preserve"> </w:t>
      </w:r>
      <w:r>
        <w:rPr>
          <w:rFonts w:cs="Times New Roman"/>
          <w:szCs w:val="28"/>
          <w:lang w:val="nl-NL"/>
        </w:rPr>
        <w:t xml:space="preserve">định tiêu chí, trình tự, thủ tục xét công nhận đạt chuẩn đô thị văn minh; </w:t>
      </w:r>
      <w:r>
        <w:rPr>
          <w:rFonts w:cs="Times New Roman"/>
          <w:bCs/>
          <w:szCs w:val="28"/>
          <w:lang w:val="nl-NL"/>
        </w:rPr>
        <w:t xml:space="preserve"> phấn đấu có 100% phường, thị trấn đạt chuẩn đô thị văn minh.</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rFonts w:cs="Times New Roman"/>
          <w:bCs/>
          <w:szCs w:val="28"/>
          <w:lang w:val="nl-NL"/>
        </w:rPr>
        <w:t xml:space="preserve">- Sở Tài chính: Chủ trì, phối hợp sở ngành, đơn vị liên quan tham mưu UBND tỉnh bố trí nguồn lực hỗ trợ thực hiện hoàn thành nhiệm vụ xây dựng NTM </w:t>
      </w:r>
      <w:r>
        <w:rPr>
          <w:rFonts w:cs="Times New Roman"/>
          <w:bCs/>
          <w:szCs w:val="28"/>
          <w:lang w:val="nl-NL"/>
        </w:rPr>
        <w:lastRenderedPageBreak/>
        <w:t>giai đoạn 2021 - 2025 theo Quyết định 321/QĐ-TTg ngày 8/3/2022 của Thủ tướng Chính phủ.</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rFonts w:cs="Times New Roman"/>
          <w:b/>
          <w:szCs w:val="28"/>
          <w:lang w:val="pt-BR"/>
        </w:rPr>
        <w:t>-</w:t>
      </w:r>
      <w:r>
        <w:rPr>
          <w:rFonts w:cs="Times New Roman"/>
          <w:szCs w:val="28"/>
          <w:lang w:val="pt-BR"/>
        </w:rPr>
        <w:t xml:space="preserve"> </w:t>
      </w:r>
      <w:r>
        <w:rPr>
          <w:rFonts w:cs="Times New Roman"/>
          <w:bCs/>
          <w:szCs w:val="28"/>
          <w:lang w:val="pt-BR"/>
        </w:rPr>
        <w:t>Các sở, ngành theo tiêu chí phụ trách:</w:t>
      </w:r>
      <w:r>
        <w:rPr>
          <w:rFonts w:cs="Times New Roman"/>
          <w:szCs w:val="28"/>
          <w:lang w:val="de-DE"/>
        </w:rPr>
        <w:t xml:space="preserve"> C</w:t>
      </w:r>
      <w:r>
        <w:rPr>
          <w:rFonts w:cs="Times New Roman"/>
          <w:szCs w:val="28"/>
          <w:lang w:val="nl-NL"/>
        </w:rPr>
        <w:t>hủ động rà soát, khâu nối với các bộ ngành Trung ương liên quan, xây dựng hồ sơ tỉnh hoàn thành nhiệm vụ xây dựng NTM theo Quyết định số 321/QĐ-TTg của Thủ tướng Chính phủ.</w:t>
      </w:r>
      <w:r>
        <w:rPr>
          <w:rFonts w:cs="Times New Roman"/>
          <w:bCs/>
          <w:szCs w:val="28"/>
          <w:lang w:val="nl-NL"/>
        </w:rPr>
        <w:t xml:space="preserve"> T</w:t>
      </w:r>
      <w:r>
        <w:rPr>
          <w:rFonts w:cs="Times New Roman"/>
          <w:bCs/>
          <w:szCs w:val="28"/>
          <w:lang w:val="pt-BR"/>
        </w:rPr>
        <w:t xml:space="preserve">ăng cường công tác kiểm tra, hướng dẫn xã, huyện trong quá trình thực hiện; </w:t>
      </w:r>
      <w:r>
        <w:rPr>
          <w:rFonts w:cs="Times New Roman"/>
          <w:bCs/>
          <w:szCs w:val="28"/>
          <w:lang w:val="vi-VN"/>
        </w:rPr>
        <w:t xml:space="preserve">kịp thời nắm bắt, tháo gỡ khó khăn, vướng mắc </w:t>
      </w:r>
      <w:r>
        <w:rPr>
          <w:rFonts w:cs="Times New Roman"/>
          <w:bCs/>
          <w:szCs w:val="28"/>
          <w:lang w:val="pt-BR"/>
        </w:rPr>
        <w:t xml:space="preserve">cho các địa phương; phân công, phân nhiệm và gắn với trách nhiệm người đứng đầu. </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b/>
          <w:szCs w:val="28"/>
          <w:lang w:val="nl-NL"/>
        </w:rPr>
        <w:t xml:space="preserve">5. </w:t>
      </w:r>
      <w:r>
        <w:rPr>
          <w:b/>
          <w:szCs w:val="28"/>
          <w:lang w:val="vi-VN"/>
        </w:rPr>
        <w:t>Các địa phương t</w:t>
      </w:r>
      <w:r>
        <w:rPr>
          <w:b/>
          <w:szCs w:val="28"/>
          <w:lang w:val="nl-NL"/>
        </w:rPr>
        <w:t xml:space="preserve">ập trung cao chỉ đạo các nội dung trọng tâm sau: </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t xml:space="preserve">- </w:t>
      </w:r>
      <w:r>
        <w:rPr>
          <w:lang w:val="pt-BR"/>
        </w:rPr>
        <w:t>Quan tâm cao phát triển kinh tế nông thôn, nâng cao thu nhập cho người dân, t</w:t>
      </w:r>
      <w:r>
        <w:rPr>
          <w:rFonts w:cs="Times New Roman"/>
          <w:bCs/>
          <w:szCs w:val="28"/>
          <w:lang w:val="sv-SE"/>
        </w:rPr>
        <w:t>iếp tục tập trung</w:t>
      </w:r>
      <w:r>
        <w:rPr>
          <w:rFonts w:cs="Times New Roman"/>
          <w:bCs/>
          <w:szCs w:val="28"/>
          <w:lang w:val="vi-VN"/>
        </w:rPr>
        <w:t xml:space="preserve"> </w:t>
      </w:r>
      <w:r>
        <w:rPr>
          <w:rFonts w:cs="Times New Roman"/>
          <w:bCs/>
          <w:szCs w:val="28"/>
          <w:lang w:val="sv-SE"/>
        </w:rPr>
        <w:t>triển khai thực hiện</w:t>
      </w:r>
      <w:r>
        <w:rPr>
          <w:rFonts w:cs="Times New Roman"/>
          <w:bCs/>
          <w:szCs w:val="28"/>
          <w:lang w:val="nl-NL"/>
        </w:rPr>
        <w:t xml:space="preserve"> Nghị quyết số 06-NQ/TU ngày 18/11/2021 của Ban Chấp hành Đảng bộ tỉnh về lãnh đạo, chỉ đạo thực hiện tập trung, tích tụ rộng đất gắn với xây dựng nông thôn mới giai đoạn 2021-2025 và những năm tiếp theo; đẩy mạnh sản xuất nông nghiệp theo hướng sản xuất tập trung, ứng dụng công nghệ cao, sản xuất nông nghiệp hữu cơ, tuần hoàn, nông nghiệp sạch</w:t>
      </w:r>
      <w:r>
        <w:rPr>
          <w:lang w:val="nl-NL"/>
        </w:rPr>
        <w:t xml:space="preserve">. </w:t>
      </w:r>
      <w:r>
        <w:rPr>
          <w:bCs/>
          <w:lang w:val="pt-BR"/>
        </w:rPr>
        <w:t xml:space="preserve">Thực hiện chương trình “Mỗi xã một sản phẩm - OCOP” hướng vào nâng cao tiêu chuẩn, chất lượng, giá trị và thương hiệu các sản phẩm đặc sản, đặc trưng của vùng miền, địa phương; gắn với phát triển thương mại, du lịch, dịch vụ nông thôn, từng bước đưa sản phẩm OCOP Hà Tĩnh vươn ra thị trường trong và ngoài tỉnh, hướng đến xuất khẩu. </w:t>
      </w:r>
      <w:r>
        <w:rPr>
          <w:lang w:val="nl-NL"/>
        </w:rPr>
        <w:t>Tiếp tục hỗ trợ, phát triển các hợp tác xã hoạt động hiệu quả, giải thể triệt để các hợp tác xã ngừng hoạt động, hoạt động yếu kém.</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rFonts w:eastAsia="Calibri"/>
          <w:szCs w:val="28"/>
          <w:lang w:val="sq-AL"/>
        </w:rPr>
        <w:t xml:space="preserve">- Tạo chuyển biến rõ nét trong công tác bảo vệ môi trường nông thôn, nhất là nâng tỷ lệ hộ sử dụng nước sạch từ công trình cấp nước tập trung; xử lý rác thải, nước thải sinh hoạt khu dân cư; nâng cao chất lượng và chiều sâu các Khu dân cư NTM kiểu mẫu, phát huy giá trị kinh tế vườn hộ. </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bCs/>
          <w:szCs w:val="28"/>
          <w:lang w:val="de-DE"/>
        </w:rPr>
      </w:pPr>
      <w:r>
        <w:rPr>
          <w:rFonts w:cs="Times New Roman"/>
          <w:szCs w:val="28"/>
          <w:lang w:val="nl-NL"/>
        </w:rPr>
        <w:tab/>
      </w:r>
      <w:r>
        <w:rPr>
          <w:rFonts w:cs="Times New Roman"/>
          <w:bCs/>
          <w:szCs w:val="28"/>
          <w:lang w:val="de-DE"/>
        </w:rPr>
        <w:t xml:space="preserve">- Chỉ đạo thực hiện hoàn thành các mục tiêu NTM </w:t>
      </w:r>
      <w:r>
        <w:rPr>
          <w:rFonts w:cs="Times New Roman"/>
          <w:bCs/>
          <w:szCs w:val="28"/>
          <w:lang w:val="nl-NL"/>
        </w:rPr>
        <w:t>giai đoạn 2021 - 2025, tạo sự chuyển biến theo từng nhóm xã, huyện</w:t>
      </w:r>
      <w:r>
        <w:rPr>
          <w:rFonts w:cs="Times New Roman"/>
          <w:bCs/>
          <w:szCs w:val="28"/>
          <w:lang w:val="de-DE"/>
        </w:rPr>
        <w:t xml:space="preserve">; địa phương nào thiếu tập trung trong chỉ đạo, không hoàn thành phải chịu trách nhiệm trước UBND tỉnh; kết quả xây dựng NTM sẽ đưa vào tiêu chí quan trọng trong xem xét, đánh giá mức độ hoàn thành nhiệm vụ và thi đua hằng năm của tổ chức, người đứng đầu địa phương. </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rFonts w:cs="Times New Roman"/>
          <w:b/>
          <w:szCs w:val="28"/>
          <w:lang w:val="pt-PT"/>
        </w:rPr>
        <w:t>6.</w:t>
      </w:r>
      <w:r>
        <w:rPr>
          <w:rFonts w:cs="Times New Roman"/>
          <w:bCs/>
          <w:szCs w:val="28"/>
          <w:lang w:val="nl-NL"/>
        </w:rPr>
        <w:t xml:space="preserve"> </w:t>
      </w:r>
      <w:r>
        <w:rPr>
          <w:rFonts w:cs="Times New Roman"/>
          <w:szCs w:val="28"/>
          <w:lang w:val="da-DK"/>
        </w:rPr>
        <w:t>Thực hiện hiệu quả, đồng bộ các giải pháp huy động nguồn lực</w:t>
      </w:r>
      <w:r>
        <w:rPr>
          <w:rFonts w:cs="Times New Roman"/>
          <w:bCs/>
          <w:szCs w:val="28"/>
          <w:lang w:val="pt-BR"/>
        </w:rPr>
        <w:t xml:space="preserve"> </w:t>
      </w:r>
      <w:r>
        <w:rPr>
          <w:rFonts w:cs="Times New Roman"/>
          <w:bCs/>
          <w:szCs w:val="28"/>
          <w:lang w:val="vi-VN"/>
        </w:rPr>
        <w:t xml:space="preserve">nguồn vốn ngân sách địa phương các cấp (tỉnh, huyện, xã) để </w:t>
      </w:r>
      <w:r>
        <w:rPr>
          <w:rFonts w:cs="Times New Roman"/>
          <w:bCs/>
          <w:szCs w:val="28"/>
          <w:lang w:val="pt-BR"/>
        </w:rPr>
        <w:t>bố trí cho xây dựng NTM;</w:t>
      </w:r>
      <w:r>
        <w:rPr>
          <w:rFonts w:cs="Times New Roman"/>
          <w:szCs w:val="28"/>
          <w:lang w:val="da-DK"/>
        </w:rPr>
        <w:t xml:space="preserve"> </w:t>
      </w:r>
      <w:r>
        <w:rPr>
          <w:rFonts w:cs="Times New Roman"/>
          <w:bCs/>
          <w:szCs w:val="28"/>
          <w:lang w:val="nl-NL"/>
        </w:rPr>
        <w:t>l</w:t>
      </w:r>
      <w:r>
        <w:rPr>
          <w:rFonts w:cs="Times New Roman"/>
          <w:bCs/>
          <w:szCs w:val="28"/>
          <w:lang w:val="vi-VN"/>
        </w:rPr>
        <w:t xml:space="preserve">ồng ghép có hiệu quả nguồn vốn đầu tư của các Chương trình mục tiêu quốc gia và các chương trình, dự án khác trên địa bàn, tập trung đầu tư xây dựng kết cấu hạ tầng kinh tế - xã hội trọng điểm. </w:t>
      </w:r>
      <w:r>
        <w:rPr>
          <w:rFonts w:cs="Times New Roman"/>
          <w:szCs w:val="28"/>
          <w:lang w:val="da-DK"/>
        </w:rPr>
        <w:t xml:space="preserve">Tăng cường công tác quản lý, sử dụng nguồn vốn ngân sách nhà nước được giao đảm bảo hiệu quả, phù hợp với quy định của pháp luật; không để xảy ra tình trạng nợ đọng xây dựng cơ bản trong xây dựng NTM. Đẩy nhanh tiến độ giải ngân các nguồn vốn ngân sách nhà nước, nhất là nguồn vốn ngân sách trung ương được giao năm 2025 (bao gồm vốn từ các năm trước được Quốc hội cho phép kéo dài sang thực hiện năm 2025). </w:t>
      </w:r>
      <w:r>
        <w:rPr>
          <w:rFonts w:cs="Times New Roman"/>
          <w:bCs/>
          <w:szCs w:val="28"/>
          <w:lang w:val="pt-BR"/>
        </w:rPr>
        <w:t>Nâng cao hiệu quả, đa dạng hóa các hình thức vận động xúc tiến, kêu gọi doanh nghiệp đầu tư vào lĩnh vực nông nghiệp, nông thôn; đẩy mạnh các hình thức xã hội hóa đầu tư.</w:t>
      </w:r>
      <w:r>
        <w:rPr>
          <w:rFonts w:cs="Times New Roman"/>
          <w:b/>
          <w:bCs/>
          <w:szCs w:val="28"/>
          <w:lang w:val="nl-NL"/>
        </w:rPr>
        <w:t xml:space="preserve"> </w:t>
      </w:r>
      <w:r>
        <w:rPr>
          <w:rFonts w:cs="Times New Roman"/>
          <w:bCs/>
          <w:szCs w:val="28"/>
          <w:lang w:val="pt-BR"/>
        </w:rPr>
        <w:t xml:space="preserve">Tổ chức thực </w:t>
      </w:r>
      <w:r>
        <w:rPr>
          <w:rFonts w:cs="Times New Roman"/>
          <w:bCs/>
          <w:szCs w:val="28"/>
          <w:lang w:val="pt-BR"/>
        </w:rPr>
        <w:lastRenderedPageBreak/>
        <w:t>hiện có hiệu quả cơ chế, chính sách nghị quyết cơ chế, chính sách về phát triển nông nghiệp; cơ chế tạo nguồn lực hỗ trợ xây dựng tỉnh đạt chuẩn NTM.</w:t>
      </w:r>
      <w:r>
        <w:rPr>
          <w:rFonts w:cs="Times New Roman"/>
          <w:bCs/>
          <w:szCs w:val="28"/>
          <w:lang w:val="nl-NL"/>
        </w:rPr>
        <w:tab/>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rFonts w:cs="Times New Roman"/>
          <w:b/>
          <w:bCs/>
          <w:szCs w:val="28"/>
          <w:lang w:val="nl-NL"/>
        </w:rPr>
        <w:t>7.</w:t>
      </w:r>
      <w:r>
        <w:rPr>
          <w:rFonts w:cs="Times New Roman"/>
          <w:bCs/>
          <w:szCs w:val="28"/>
          <w:lang w:val="pt-BR"/>
        </w:rPr>
        <w:t xml:space="preserve"> Ban Thường vụ cấp uỷ các Huyện, Thành phố, Thị xã; các đoàn công tác của Ban Thường vụ Tỉnh ủy phát huy cao trách nhiệm để lãnh đạo, chỉ đạo toàn diện các nội dung ở các địa phương, trong đó tập trung cao cho việc chỉ đạo xây dựng NTM, đô thị văn minh; Mặt trận Tổ quốc, các đoàn thể chính trị - xã hội; các cơ quan báo chí tăng cường công tác tuyên truyền, vận động thành viên, đoàn viên, hội viên, các tầng lớp Nhân dân đẩy mạnh tham gia thực hiện phong trào thi đua “Cả tỉnh chung sức xây dựng tỉnh Hà Tĩnh đạt chuẩn NTM giai đoạn 2021 - 2025”; thực hiện các phong trào toàn dân đoàn kết xây dựng đời sống văn hóa, bảo vệ an ninh Tổ quốc, xây dựng gia đình, thôn xóm, làng xã văn hoá; làm tốt chức năng giám sát, phản biện xã hội, kịp thời đề xuất các giải pháp hiệu quả trong xây dựng NTM, đô thị văn minh.</w:t>
      </w:r>
    </w:p>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right"/>
        <w:rPr>
          <w:rFonts w:cs="Times New Roman"/>
          <w:szCs w:val="28"/>
          <w:lang w:val="nl-NL"/>
        </w:rPr>
      </w:pPr>
      <w:r>
        <w:rPr>
          <w:rStyle w:val="fontstyle01"/>
          <w:rFonts w:cs="Times New Roman"/>
          <w:b/>
          <w:color w:val="auto"/>
          <w:sz w:val="26"/>
          <w:lang w:val="nl-NL"/>
        </w:rPr>
        <w:t>BAN CHỈ ĐẠO TỈNH</w:t>
      </w:r>
    </w:p>
    <w:p w:rsidR="00291AF2" w:rsidRDefault="00291AF2">
      <w:pPr>
        <w:spacing w:after="0" w:line="240" w:lineRule="auto"/>
        <w:rPr>
          <w:rFonts w:cs="Times New Roman"/>
          <w:lang w:val="de-DE"/>
        </w:rPr>
      </w:pPr>
    </w:p>
    <w:p w:rsidR="00291AF2" w:rsidRDefault="00291AF2">
      <w:pPr>
        <w:spacing w:after="0" w:line="240" w:lineRule="auto"/>
        <w:rPr>
          <w:rFonts w:cs="Times New Roman"/>
          <w:lang w:val="de-DE"/>
        </w:rPr>
      </w:pPr>
    </w:p>
    <w:p w:rsidR="00291AF2" w:rsidRDefault="00291AF2">
      <w:pPr>
        <w:spacing w:after="0" w:line="240" w:lineRule="auto"/>
      </w:pPr>
    </w:p>
    <w:p w:rsidR="00291AF2" w:rsidRDefault="00291AF2">
      <w:pPr>
        <w:spacing w:after="0" w:line="240" w:lineRule="auto"/>
      </w:pPr>
    </w:p>
    <w:p w:rsidR="00291AF2" w:rsidRDefault="00291AF2">
      <w:pPr>
        <w:spacing w:after="0" w:line="240" w:lineRule="auto"/>
      </w:pPr>
    </w:p>
    <w:p w:rsidR="00291AF2" w:rsidRDefault="00291AF2">
      <w:pPr>
        <w:spacing w:after="0" w:line="240" w:lineRule="auto"/>
      </w:pPr>
    </w:p>
    <w:p w:rsidR="00291AF2" w:rsidRDefault="00291AF2">
      <w:pPr>
        <w:spacing w:after="0" w:line="240" w:lineRule="auto"/>
      </w:pPr>
    </w:p>
    <w:p w:rsidR="00291AF2" w:rsidRDefault="00291AF2">
      <w:pPr>
        <w:spacing w:after="0" w:line="240" w:lineRule="auto"/>
      </w:pPr>
    </w:p>
    <w:sectPr w:rsidR="00291AF2">
      <w:headerReference w:type="default" r:id="rId9"/>
      <w:pgSz w:w="11907" w:h="16840" w:code="9"/>
      <w:pgMar w:top="1134" w:right="851"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47F" w:rsidRDefault="00CF547F">
      <w:pPr>
        <w:spacing w:after="0" w:line="240" w:lineRule="auto"/>
      </w:pPr>
      <w:r>
        <w:separator/>
      </w:r>
    </w:p>
  </w:endnote>
  <w:endnote w:type="continuationSeparator" w:id="0">
    <w:p w:rsidR="00CF547F" w:rsidRDefault="00CF5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47F" w:rsidRDefault="00CF547F">
      <w:pPr>
        <w:spacing w:after="0" w:line="240" w:lineRule="auto"/>
      </w:pPr>
      <w:r>
        <w:separator/>
      </w:r>
    </w:p>
  </w:footnote>
  <w:footnote w:type="continuationSeparator" w:id="0">
    <w:p w:rsidR="00CF547F" w:rsidRDefault="00CF547F">
      <w:pPr>
        <w:spacing w:after="0" w:line="240" w:lineRule="auto"/>
      </w:pPr>
      <w:r>
        <w:continuationSeparator/>
      </w:r>
    </w:p>
  </w:footnote>
  <w:footnote w:id="1">
    <w:p w:rsidR="00291AF2" w:rsidRDefault="004E05BB">
      <w:pPr>
        <w:pStyle w:val="FootnoteText"/>
        <w:jc w:val="both"/>
        <w:rPr>
          <w:rFonts w:ascii="Times New Roman" w:hAnsi="Times New Roman" w:cs="Times New Roman"/>
          <w:sz w:val="18"/>
          <w:szCs w:val="18"/>
          <w:lang w:val="vi-VN"/>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w:t>
      </w:r>
      <w:r>
        <w:rPr>
          <w:rFonts w:ascii="Times New Roman" w:hAnsi="Times New Roman" w:cs="Times New Roman"/>
          <w:sz w:val="18"/>
          <w:szCs w:val="18"/>
          <w:lang w:val="nl-NL"/>
        </w:rPr>
        <w:t>ố 608/QĐ-UBND ngày 8/03/2024 về việc phân bổ kế hoạch vốn sự nghiệp ngân sách trung ương thực hiện Chương trình mục tiêu quốc gia xây dựng nông thôn mới năm 2024; số 2647/QĐ-UBND ngày 18/11/2024 về việc phân bổ nguồn vốn ĐTPT ngân sách Trung ương thực hiện Chương trình mục tiêu quốc gia xây dựng nông thôn mới năm 2024 đầu tư công trình cấp nước sạch nông thôn tập trung; số 2633/QĐ-UBND ngày 14/11/202 về việc điều chỉnh kế hoạch vốn vốn đầu tư phát triển nguồn ngân sách Trung ương thực hiện Chương trình mục tiêu quốc gia xây dựng nông thôn mới năm 2023 đầu tư các công trình cấp nước sạch nông thôn tập trung; số 2754/QĐ-UBND ngày 29/11/2024 về việc điều chỉnh kế hoạch vốn sự nghiệp thực hiện các chương trình mục tiêu quốc gia năm 2024</w:t>
      </w:r>
      <w:r>
        <w:rPr>
          <w:rFonts w:ascii="Times New Roman" w:hAnsi="Times New Roman" w:cs="Times New Roman"/>
          <w:sz w:val="18"/>
          <w:szCs w:val="18"/>
          <w:lang w:val="vi-VN"/>
        </w:rPr>
        <w:t xml:space="preserve">; Số 2448/QĐ-UBND ngày 23/10/2024 </w:t>
      </w:r>
      <w:r>
        <w:rPr>
          <w:rFonts w:ascii="Times New Roman" w:hAnsi="Times New Roman" w:cs="Times New Roman"/>
          <w:sz w:val="18"/>
          <w:szCs w:val="18"/>
        </w:rPr>
        <w:t>điều chỉnh dự toán chi th</w:t>
      </w:r>
      <w:r>
        <w:rPr>
          <w:rFonts w:ascii="Times New Roman" w:hAnsi="Times New Roman" w:cs="Times New Roman"/>
          <w:sz w:val="18"/>
          <w:szCs w:val="18"/>
          <w:lang w:val="vi-VN"/>
        </w:rPr>
        <w:t>ư</w:t>
      </w:r>
      <w:r>
        <w:rPr>
          <w:rFonts w:ascii="Times New Roman" w:hAnsi="Times New Roman" w:cs="Times New Roman"/>
          <w:sz w:val="18"/>
          <w:szCs w:val="18"/>
        </w:rPr>
        <w:t>ờng xuyên của các ch</w:t>
      </w:r>
      <w:r>
        <w:rPr>
          <w:rFonts w:ascii="Times New Roman" w:hAnsi="Times New Roman" w:cs="Times New Roman"/>
          <w:sz w:val="18"/>
          <w:szCs w:val="18"/>
          <w:lang w:val="vi-VN"/>
        </w:rPr>
        <w:t>ư</w:t>
      </w:r>
      <w:r>
        <w:rPr>
          <w:rFonts w:ascii="Times New Roman" w:hAnsi="Times New Roman" w:cs="Times New Roman"/>
          <w:sz w:val="18"/>
          <w:szCs w:val="18"/>
        </w:rPr>
        <w:t xml:space="preserve">ơng trình </w:t>
      </w:r>
      <w:r>
        <w:rPr>
          <w:rFonts w:ascii="Times New Roman" w:hAnsi="Times New Roman" w:cs="Times New Roman"/>
          <w:sz w:val="18"/>
          <w:szCs w:val="18"/>
          <w:lang w:val="vi-VN"/>
        </w:rPr>
        <w:t>MTQG</w:t>
      </w:r>
      <w:r>
        <w:rPr>
          <w:rFonts w:ascii="Times New Roman" w:hAnsi="Times New Roman" w:cs="Times New Roman"/>
          <w:sz w:val="18"/>
          <w:szCs w:val="18"/>
        </w:rPr>
        <w:t xml:space="preserve"> ch</w:t>
      </w:r>
      <w:r>
        <w:rPr>
          <w:rFonts w:ascii="Times New Roman" w:hAnsi="Times New Roman" w:cs="Times New Roman"/>
          <w:sz w:val="18"/>
          <w:szCs w:val="18"/>
          <w:lang w:val="vi-VN"/>
        </w:rPr>
        <w:t>ư</w:t>
      </w:r>
      <w:r>
        <w:rPr>
          <w:rFonts w:ascii="Times New Roman" w:hAnsi="Times New Roman" w:cs="Times New Roman"/>
          <w:sz w:val="18"/>
          <w:szCs w:val="18"/>
        </w:rPr>
        <w:t>a giải ngân hết trong năm 2023 đã đ</w:t>
      </w:r>
      <w:r>
        <w:rPr>
          <w:rFonts w:ascii="Times New Roman" w:hAnsi="Times New Roman" w:cs="Times New Roman"/>
          <w:sz w:val="18"/>
          <w:szCs w:val="18"/>
          <w:lang w:val="vi-VN"/>
        </w:rPr>
        <w:t>ư</w:t>
      </w:r>
      <w:r>
        <w:rPr>
          <w:rFonts w:ascii="Times New Roman" w:hAnsi="Times New Roman" w:cs="Times New Roman"/>
          <w:sz w:val="18"/>
          <w:szCs w:val="18"/>
        </w:rPr>
        <w:t>ợc chuyển nguồn sang năm 2024;</w:t>
      </w:r>
      <w:r>
        <w:rPr>
          <w:rFonts w:ascii="Times New Roman" w:hAnsi="Times New Roman" w:cs="Times New Roman"/>
          <w:sz w:val="18"/>
          <w:szCs w:val="18"/>
          <w:lang w:val="vi-VN"/>
        </w:rPr>
        <w:t xml:space="preserve"> Quyết định số 3096/QĐ-UBND ngày 31/12/2024 Phân bổ vốn đầu tư phát triển ngân sách trung ương, tỉnh năm 2025 thực hiện các chương trình MTQG.</w:t>
      </w:r>
    </w:p>
  </w:footnote>
  <w:footnote w:id="2">
    <w:p w:rsidR="00291AF2" w:rsidRDefault="004E05BB">
      <w:pPr>
        <w:pStyle w:val="FootnoteText"/>
        <w:jc w:val="both"/>
        <w:rPr>
          <w:rFonts w:ascii="Times New Roman" w:hAnsi="Times New Roman" w:cs="Times New Roman"/>
          <w:sz w:val="18"/>
          <w:szCs w:val="18"/>
          <w:lang w:val="vi-VN"/>
        </w:rPr>
      </w:pPr>
      <w:r>
        <w:rPr>
          <w:rStyle w:val="FootnoteReference"/>
          <w:rFonts w:ascii="Times New Roman" w:hAnsi="Times New Roman" w:cs="Times New Roman"/>
          <w:sz w:val="18"/>
          <w:szCs w:val="18"/>
        </w:rPr>
        <w:footnoteRef/>
      </w:r>
      <w:r>
        <w:rPr>
          <w:rFonts w:ascii="Times New Roman" w:hAnsi="Times New Roman" w:cs="Times New Roman"/>
          <w:sz w:val="18"/>
          <w:szCs w:val="18"/>
          <w:lang w:val="vi-VN"/>
        </w:rPr>
        <w:t xml:space="preserve"> </w:t>
      </w:r>
      <w:r>
        <w:rPr>
          <w:rFonts w:ascii="Times New Roman" w:hAnsi="Times New Roman" w:cs="Times New Roman"/>
          <w:spacing w:val="-4"/>
          <w:sz w:val="18"/>
          <w:szCs w:val="18"/>
          <w:lang w:val="nl-NL"/>
        </w:rPr>
        <w:t>số 473/QĐ-UBND ngày 07/02/2024 về việc phê duyệt Kế hoạch kinh phí năm 2024 để thực hiện chính sách khuyến khích phát triển nông nghiệp, nông thôn gắn với xây dựng tỉnh đạt chuẩn nông thôn mới theo Nghị quyết số 51/2021/NQ-HĐND của HĐND tỉnh; số 289/QĐ-UBND ngày 6/01/2024 về việc phê duyệt Kế hoạch kinh phí năm 2024 để thực hiện một số cơ chế, chính sách tạo nguồn lực xây dựng thành công tỉnh Hà Tĩnh đạt chuẩn nông thôn mới, giai đoạn 2022-2025; số 531/QĐ-UBND ngày 23/02/2024 về</w:t>
      </w:r>
      <w:r>
        <w:rPr>
          <w:rFonts w:ascii="Times New Roman" w:eastAsia="Times New Roman" w:hAnsi="Times New Roman" w:cs="Times New Roman"/>
          <w:color w:val="123456"/>
          <w:sz w:val="18"/>
          <w:szCs w:val="18"/>
          <w:lang w:val="nl-NL"/>
        </w:rPr>
        <w:br/>
        <w:t xml:space="preserve">Về việc cấp kinh phí thực hiện chính sách hỗ trợ tạo nguồn lực xây dựng thành công tỉnh Hà Tĩnh đạt chuẩn nông thôn mới theo Nghị quyết số 44/2021/NQ HĐND ngày 16/12/2021 của HĐND tỉnh (đợt 1 năm 2024); số </w:t>
      </w:r>
      <w:hyperlink r:id="rId1" w:tgtFrame="Main" w:history="1">
        <w:r>
          <w:rPr>
            <w:rStyle w:val="Hyperlink"/>
            <w:rFonts w:ascii="Times New Roman" w:hAnsi="Times New Roman" w:cs="Times New Roman"/>
            <w:color w:val="123456"/>
            <w:sz w:val="18"/>
            <w:szCs w:val="18"/>
            <w:u w:val="none"/>
            <w:shd w:val="clear" w:color="auto" w:fill="FFFFFF"/>
            <w:lang w:val="nl-NL"/>
          </w:rPr>
          <w:t>683/QĐ-UBND</w:t>
        </w:r>
      </w:hyperlink>
      <w:r>
        <w:rPr>
          <w:rFonts w:ascii="Times New Roman" w:hAnsi="Times New Roman" w:cs="Times New Roman"/>
          <w:sz w:val="18"/>
          <w:szCs w:val="18"/>
          <w:lang w:val="nl-NL"/>
        </w:rPr>
        <w:t xml:space="preserve"> ngày 19/03/2024 về việc </w:t>
      </w:r>
      <w:hyperlink r:id="rId2" w:tgtFrame="Main" w:history="1">
        <w:r>
          <w:rPr>
            <w:rStyle w:val="Hyperlink"/>
            <w:rFonts w:ascii="Times New Roman" w:hAnsi="Times New Roman" w:cs="Times New Roman"/>
            <w:color w:val="123456"/>
            <w:sz w:val="18"/>
            <w:szCs w:val="18"/>
            <w:u w:val="none"/>
            <w:shd w:val="clear" w:color="auto" w:fill="FFFFFF"/>
            <w:lang w:val="nl-NL"/>
          </w:rPr>
          <w:t>cấp kinh phí thực hiện chính sách khuyến khích phát triển nông nghiệp, nông thôn gắn với xây dựng tỉnh đạt chuẩn nông thôn mới theo Nghị quyết số 51/2021/NQ-HĐND của HĐND tỉnh (Đợt 1/2024)</w:t>
        </w:r>
      </w:hyperlink>
      <w:r>
        <w:rPr>
          <w:rFonts w:ascii="Times New Roman" w:hAnsi="Times New Roman" w:cs="Times New Roman"/>
          <w:sz w:val="18"/>
          <w:szCs w:val="18"/>
          <w:lang w:val="nl-NL"/>
        </w:rPr>
        <w:t>; số 1285/QĐ-UBND ngày 23/05/2024 về việc cấp kinh phí thực hiện chính sách khuyến khích phát triển nông nghiệp, nông thôn gắn với xây dựng tỉnh đạt chuẩn nông thôn mới theo Nghị quyết số 51/2021/NQ-HĐND của HĐND tỉnh (Đợt II/2024); số 1801/QĐ-UBND ngày 23/07/2024 về  việc điều chỉnh kế hoạch và xử lý kinh phí thừa, thiếu năm 2023 để thực hiện Nghị quyết số 51/2021/NQ-HĐND ngày 16/12/2021 của Hội đồng nhân dân tỉnh về quy định chính sách khuyến khích phát triển nông nghiệp, nông thôn gắn với xây dựng tỉnh đạt chuẩn nông thôn mới</w:t>
      </w:r>
      <w:r>
        <w:rPr>
          <w:rFonts w:ascii="Times New Roman" w:hAnsi="Times New Roman" w:cs="Times New Roman"/>
          <w:sz w:val="18"/>
          <w:szCs w:val="18"/>
          <w:lang w:val="vi-VN"/>
        </w:rPr>
        <w:t>; Quyết định 684/QĐ-UBND ngày 19/3/2024 Về việc điều chỉnh kế hoạch và xử lý kinh phí thừa, thiếu để thực hiện một số cơ chế chính sách hỗ trợ tạo nguồn lực xây dựng thành công tỉnh Hà Tĩnh đạt chuẩn nông thôn mới năm 2023 theo Nghị quyết số 44/2021/NQ-HĐND</w:t>
      </w:r>
    </w:p>
  </w:footnote>
  <w:footnote w:id="3">
    <w:p w:rsidR="00291AF2" w:rsidRDefault="004E05BB">
      <w:pPr>
        <w:pStyle w:val="FootnoteText"/>
        <w:rPr>
          <w:rFonts w:ascii="Times New Roman" w:hAnsi="Times New Roman" w:cs="Times New Roman"/>
          <w:sz w:val="18"/>
          <w:szCs w:val="18"/>
          <w:lang w:val="vi-VN"/>
        </w:rPr>
      </w:pPr>
      <w:r>
        <w:rPr>
          <w:rStyle w:val="FootnoteReference"/>
          <w:rFonts w:ascii="Times New Roman" w:hAnsi="Times New Roman" w:cs="Times New Roman"/>
          <w:sz w:val="18"/>
          <w:szCs w:val="18"/>
        </w:rPr>
        <w:footnoteRef/>
      </w:r>
      <w:r>
        <w:rPr>
          <w:rFonts w:ascii="Times New Roman" w:hAnsi="Times New Roman" w:cs="Times New Roman"/>
          <w:sz w:val="18"/>
          <w:szCs w:val="18"/>
          <w:lang w:val="vi-VN"/>
        </w:rPr>
        <w:t xml:space="preserve"> </w:t>
      </w:r>
      <w:r>
        <w:rPr>
          <w:rFonts w:ascii="Times New Roman" w:hAnsi="Times New Roman" w:cs="Times New Roman"/>
          <w:sz w:val="18"/>
          <w:szCs w:val="18"/>
          <w:lang w:val="nl-NL"/>
        </w:rPr>
        <w:t>Số 15/2024/QĐ-UBND ngày 12/7/2024</w:t>
      </w:r>
    </w:p>
  </w:footnote>
  <w:footnote w:id="4">
    <w:p w:rsidR="00291AF2" w:rsidRDefault="004E05BB">
      <w:pPr>
        <w:pStyle w:val="FootnoteText"/>
        <w:jc w:val="both"/>
        <w:rPr>
          <w:rFonts w:ascii="Times New Roman" w:hAnsi="Times New Roman" w:cs="Times New Roman"/>
          <w:b/>
          <w:sz w:val="18"/>
          <w:szCs w:val="18"/>
          <w:lang w:val="vi-VN"/>
        </w:rPr>
      </w:pPr>
      <w:r>
        <w:rPr>
          <w:rStyle w:val="FootnoteReference"/>
          <w:rFonts w:ascii="Times New Roman" w:hAnsi="Times New Roman" w:cs="Times New Roman"/>
          <w:sz w:val="18"/>
          <w:szCs w:val="18"/>
        </w:rPr>
        <w:footnoteRef/>
      </w:r>
      <w:r>
        <w:rPr>
          <w:rFonts w:ascii="Times New Roman" w:hAnsi="Times New Roman" w:cs="Times New Roman"/>
          <w:spacing w:val="-4"/>
          <w:sz w:val="18"/>
          <w:szCs w:val="18"/>
          <w:lang w:val="nl-NL"/>
        </w:rPr>
        <w:t xml:space="preserve">Văn bản số 433/UBND-TH1 ngày 22/01/2024 về việc triển khai kế hoạch đầu tư vốn ngân sách nhà nước năm 2024;  Văn bản số 1755/UBND-TH6 ngày 01/4/2024 về việc hoàn thiện các thủ tục đầu tƣ các dự án khởi công mới và rà soát đề xuất điều chỉnh kế hoạch đầu tư công trung hạn giai đoạn 2021-2025; Văn bản số 1764/UBND-TH6 ngày 01/4/2024 về việc đẩy nhanh tiến độ triển khai, giải ngân kế hoạch đầu tư công vốn ngân sách nhà nước năm 2024; </w:t>
      </w:r>
      <w:r>
        <w:rPr>
          <w:rFonts w:ascii="Times New Roman" w:hAnsi="Times New Roman" w:cs="Times New Roman"/>
          <w:color w:val="081C36"/>
          <w:spacing w:val="3"/>
          <w:sz w:val="18"/>
          <w:szCs w:val="18"/>
          <w:shd w:val="clear" w:color="auto" w:fill="FFFFFF"/>
          <w:lang w:val="nl-NL"/>
        </w:rPr>
        <w:t>Văn bản số 3011/UBND-TH6 ngày 29/5/2024 về việc đẩy nhanh tiến độ giải ngân vốn đầu tư công năm 2024</w:t>
      </w:r>
      <w:r>
        <w:rPr>
          <w:rFonts w:ascii="Times New Roman" w:hAnsi="Times New Roman" w:cs="Times New Roman"/>
          <w:color w:val="081C36"/>
          <w:spacing w:val="3"/>
          <w:sz w:val="18"/>
          <w:szCs w:val="18"/>
          <w:shd w:val="clear" w:color="auto" w:fill="FFFFFF"/>
          <w:lang w:val="vi-VN"/>
        </w:rPr>
        <w:t xml:space="preserve">; Văn bản số 1678/UBND-TH1 ngày 29/3/2024 và 5873/UBND-NL5 ngày 03/10/2024 </w:t>
      </w:r>
      <w:r>
        <w:rPr>
          <w:rFonts w:ascii="Times New Roman" w:hAnsi="Times New Roman" w:cs="Times New Roman"/>
          <w:sz w:val="18"/>
          <w:szCs w:val="18"/>
          <w:lang w:val="vi-VN"/>
        </w:rPr>
        <w:t>đẩy nhanh tiến độ phân bổ kinh phí thực hiện các Đề án, chính sách năm 2024; Văn bản số 09/UBND-NL5 ngày 02/1/2024 V/v đẩy nhanh tiến độ triển khai thực hiện các công trình cấp nước từ nguồn Chương trình MTQG xây dựng NTM giai đoạn 2022-2025</w:t>
      </w:r>
    </w:p>
  </w:footnote>
  <w:footnote w:id="5">
    <w:p w:rsidR="00291AF2" w:rsidRDefault="004E05BB">
      <w:pPr>
        <w:spacing w:before="20" w:after="20" w:line="264" w:lineRule="auto"/>
        <w:jc w:val="both"/>
        <w:rPr>
          <w:rFonts w:cs="Times New Roman"/>
          <w:b/>
          <w:sz w:val="18"/>
          <w:szCs w:val="18"/>
          <w:lang w:val="nl-NL"/>
        </w:rPr>
      </w:pPr>
      <w:r>
        <w:rPr>
          <w:rStyle w:val="FootnoteReference"/>
          <w:rFonts w:cs="Times New Roman"/>
          <w:sz w:val="18"/>
          <w:szCs w:val="18"/>
        </w:rPr>
        <w:footnoteRef/>
      </w:r>
      <w:r>
        <w:rPr>
          <w:rFonts w:cs="Times New Roman"/>
          <w:sz w:val="18"/>
          <w:szCs w:val="18"/>
          <w:lang w:val="nl-NL"/>
        </w:rPr>
        <w:t xml:space="preserve"> tăng cường lãnh đạo, chỉ đạo thực hiện Chương trình mỗi xã một sản phẩm trong thời gian tới </w:t>
      </w:r>
      <w:r>
        <w:rPr>
          <w:rFonts w:cs="Times New Roman"/>
          <w:i/>
          <w:sz w:val="18"/>
          <w:szCs w:val="18"/>
          <w:lang w:val="nl-NL"/>
        </w:rPr>
        <w:t>(Văn bản số 4414/UBND - NL</w:t>
      </w:r>
      <w:r>
        <w:rPr>
          <w:rFonts w:cs="Times New Roman"/>
          <w:i/>
          <w:sz w:val="18"/>
          <w:szCs w:val="18"/>
          <w:vertAlign w:val="subscript"/>
          <w:lang w:val="nl-NL"/>
        </w:rPr>
        <w:t>5</w:t>
      </w:r>
      <w:r>
        <w:rPr>
          <w:rFonts w:cs="Times New Roman"/>
          <w:i/>
          <w:sz w:val="18"/>
          <w:szCs w:val="18"/>
          <w:lang w:val="nl-NL"/>
        </w:rPr>
        <w:t xml:space="preserve"> ngày 02/8/2024)</w:t>
      </w:r>
      <w:r>
        <w:rPr>
          <w:rFonts w:cs="Times New Roman"/>
          <w:sz w:val="18"/>
          <w:szCs w:val="18"/>
          <w:lang w:val="nl-NL"/>
        </w:rPr>
        <w:t xml:space="preserve">, </w:t>
      </w:r>
      <w:r>
        <w:rPr>
          <w:rStyle w:val="fontstyle01"/>
          <w:rFonts w:ascii="Times New Roman" w:hAnsi="Times New Roman" w:cs="Times New Roman"/>
          <w:sz w:val="18"/>
          <w:szCs w:val="18"/>
          <w:lang w:val="vi-VN"/>
        </w:rPr>
        <w:t>triển khai thực hiện Nghị quyết số 51/2021/NQ-HĐND</w:t>
      </w:r>
      <w:r>
        <w:rPr>
          <w:rStyle w:val="fontstyle01"/>
          <w:rFonts w:ascii="Times New Roman" w:hAnsi="Times New Roman" w:cs="Times New Roman"/>
          <w:sz w:val="18"/>
          <w:szCs w:val="18"/>
          <w:lang w:val="nl-NL"/>
        </w:rPr>
        <w:t xml:space="preserve"> ngày 16/12/2021 của HĐND tỉnh </w:t>
      </w:r>
      <w:r>
        <w:rPr>
          <w:rStyle w:val="fontstyle01"/>
          <w:rFonts w:ascii="Times New Roman" w:hAnsi="Times New Roman" w:cs="Times New Roman"/>
          <w:i/>
          <w:sz w:val="18"/>
          <w:szCs w:val="18"/>
          <w:lang w:val="nl-NL"/>
        </w:rPr>
        <w:t xml:space="preserve">(Văn bản số </w:t>
      </w:r>
      <w:r>
        <w:rPr>
          <w:rStyle w:val="fontstyle01"/>
          <w:rFonts w:ascii="Times New Roman" w:hAnsi="Times New Roman" w:cs="Times New Roman"/>
          <w:i/>
          <w:sz w:val="18"/>
          <w:szCs w:val="18"/>
          <w:lang w:val="vi-VN"/>
        </w:rPr>
        <w:t>686/UBND-NL5 ngày 14/02/2022</w:t>
      </w:r>
      <w:r>
        <w:rPr>
          <w:rStyle w:val="fontstyle01"/>
          <w:rFonts w:ascii="Times New Roman" w:hAnsi="Times New Roman" w:cs="Times New Roman"/>
          <w:i/>
          <w:sz w:val="18"/>
          <w:szCs w:val="18"/>
          <w:lang w:val="nl-NL"/>
        </w:rPr>
        <w:t>)</w:t>
      </w:r>
      <w:r>
        <w:rPr>
          <w:rStyle w:val="fontstyle01"/>
          <w:rFonts w:ascii="Times New Roman" w:hAnsi="Times New Roman" w:cs="Times New Roman"/>
          <w:sz w:val="18"/>
          <w:szCs w:val="18"/>
          <w:lang w:val="nl-NL"/>
        </w:rPr>
        <w:t xml:space="preserve">, tăng cường công tác quản lý, kiểm tra, giám sát đối với các sản phẩm OCOP </w:t>
      </w:r>
      <w:r>
        <w:rPr>
          <w:rStyle w:val="fontstyle01"/>
          <w:rFonts w:ascii="Times New Roman" w:hAnsi="Times New Roman" w:cs="Times New Roman"/>
          <w:i/>
          <w:sz w:val="18"/>
          <w:szCs w:val="18"/>
          <w:lang w:val="nl-NL"/>
        </w:rPr>
        <w:t>(Văn bản số 42/UBND-NL</w:t>
      </w:r>
      <w:r>
        <w:rPr>
          <w:rStyle w:val="fontstyle01"/>
          <w:rFonts w:ascii="Times New Roman" w:hAnsi="Times New Roman" w:cs="Times New Roman"/>
          <w:i/>
          <w:sz w:val="18"/>
          <w:szCs w:val="18"/>
          <w:vertAlign w:val="subscript"/>
          <w:lang w:val="nl-NL"/>
        </w:rPr>
        <w:t>5</w:t>
      </w:r>
      <w:r>
        <w:rPr>
          <w:rStyle w:val="fontstyle01"/>
          <w:rFonts w:ascii="Times New Roman" w:hAnsi="Times New Roman" w:cs="Times New Roman"/>
          <w:i/>
          <w:sz w:val="18"/>
          <w:szCs w:val="18"/>
          <w:lang w:val="nl-NL"/>
        </w:rPr>
        <w:t xml:space="preserve"> ngày 06/01/2025)</w:t>
      </w:r>
    </w:p>
  </w:footnote>
  <w:footnote w:id="6">
    <w:p w:rsidR="00291AF2" w:rsidRDefault="004E05BB">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contextualSpacing/>
        <w:jc w:val="both"/>
        <w:rPr>
          <w:rFonts w:cs="Times New Roman"/>
          <w:b/>
          <w:sz w:val="18"/>
          <w:szCs w:val="18"/>
          <w:lang w:val="nl-NL"/>
        </w:rPr>
      </w:pPr>
      <w:r>
        <w:rPr>
          <w:rStyle w:val="FootnoteReference"/>
          <w:rFonts w:cs="Times New Roman"/>
          <w:sz w:val="18"/>
          <w:szCs w:val="18"/>
        </w:rPr>
        <w:footnoteRef/>
      </w:r>
      <w:r>
        <w:rPr>
          <w:rFonts w:cs="Times New Roman"/>
          <w:sz w:val="18"/>
          <w:szCs w:val="18"/>
          <w:lang w:val="nl-NL"/>
        </w:rPr>
        <w:t xml:space="preserve"> </w:t>
      </w:r>
      <w:r>
        <w:rPr>
          <w:rFonts w:cs="Times New Roman"/>
          <w:spacing w:val="-4"/>
          <w:sz w:val="18"/>
          <w:szCs w:val="18"/>
          <w:lang w:val="nl-NL"/>
        </w:rPr>
        <w:t xml:space="preserve">Văn bản số </w:t>
      </w:r>
      <w:r>
        <w:rPr>
          <w:rFonts w:eastAsia="Times New Roman" w:cs="Times New Roman"/>
          <w:sz w:val="18"/>
          <w:szCs w:val="18"/>
          <w:lang w:val="nl-NL" w:eastAsia="zh-CN"/>
        </w:rPr>
        <w:t>1751/UBND-NL</w:t>
      </w:r>
      <w:r>
        <w:rPr>
          <w:rFonts w:eastAsia="Times New Roman" w:cs="Times New Roman"/>
          <w:sz w:val="18"/>
          <w:szCs w:val="18"/>
          <w:vertAlign w:val="subscript"/>
          <w:lang w:val="nl-NL" w:eastAsia="zh-CN"/>
        </w:rPr>
        <w:t>4</w:t>
      </w:r>
      <w:r>
        <w:rPr>
          <w:rFonts w:eastAsia="Times New Roman" w:cs="Times New Roman"/>
          <w:sz w:val="18"/>
          <w:szCs w:val="18"/>
          <w:lang w:val="nl-NL" w:eastAsia="zh-CN"/>
        </w:rPr>
        <w:t xml:space="preserve"> ngày 1/4/2024 về </w:t>
      </w:r>
      <w:r>
        <w:rPr>
          <w:rFonts w:cs="Times New Roman"/>
          <w:spacing w:val="-4"/>
          <w:sz w:val="18"/>
          <w:szCs w:val="18"/>
          <w:lang w:val="nl-NL"/>
        </w:rPr>
        <w:t xml:space="preserve">tiếp tục đẩy mạnh triển khai thực hiện các chương trình MTQG theo Thông báo kết luận số 93/TB-VPCP ngày 13/3/2024 của Văn phòng Chính phủ; Văn bản số </w:t>
      </w:r>
      <w:r>
        <w:rPr>
          <w:rFonts w:cs="Times New Roman"/>
          <w:sz w:val="18"/>
          <w:szCs w:val="18"/>
          <w:lang w:val="nl-NL"/>
        </w:rPr>
        <w:t>6748/UBND-NL ngày 08/11/2024 của UBND tỉnh về đẩy nhanh tiến độ, phấn đấu hoàn thành mục tiêu xây dựng nông thôn mới năm 2024 theo Văn bản số 7598/BNN-VPĐP, ngày 09/10/2024 của Bộ Nông nghiệp và Phát triển nông thôn</w:t>
      </w:r>
      <w:r>
        <w:rPr>
          <w:rFonts w:cs="Times New Roman"/>
          <w:spacing w:val="-4"/>
          <w:sz w:val="18"/>
          <w:szCs w:val="18"/>
          <w:lang w:val="nl-NL"/>
        </w:rPr>
        <w:t>);</w:t>
      </w:r>
    </w:p>
    <w:p w:rsidR="00291AF2" w:rsidRDefault="00291AF2">
      <w:pPr>
        <w:pStyle w:val="FootnoteText"/>
        <w:rPr>
          <w:lang w:val="nl-NL"/>
        </w:rPr>
      </w:pPr>
    </w:p>
  </w:footnote>
  <w:footnote w:id="7">
    <w:p w:rsidR="00291AF2" w:rsidRDefault="004E05BB">
      <w:pPr>
        <w:pStyle w:val="FootnoteText"/>
        <w:jc w:val="both"/>
        <w:rPr>
          <w:rFonts w:ascii="Times New Roman" w:hAnsi="Times New Roman" w:cs="Times New Roman"/>
          <w:sz w:val="18"/>
          <w:szCs w:val="18"/>
          <w:lang w:val="nl-NL"/>
        </w:rPr>
      </w:pPr>
      <w:r>
        <w:rPr>
          <w:rStyle w:val="FootnoteReference"/>
          <w:rFonts w:ascii="Times New Roman" w:hAnsi="Times New Roman" w:cs="Times New Roman"/>
          <w:sz w:val="18"/>
          <w:szCs w:val="18"/>
        </w:rPr>
        <w:footnoteRef/>
      </w:r>
      <w:r>
        <w:rPr>
          <w:rFonts w:ascii="Times New Roman" w:hAnsi="Times New Roman" w:cs="Times New Roman"/>
          <w:sz w:val="18"/>
          <w:szCs w:val="18"/>
          <w:lang w:val="nl-NL"/>
        </w:rPr>
        <w:t xml:space="preserve"> Chương trình đầu tư phát triển mạng lưới y tế cơ sở vùng khó khăn (sử dụng vốn vay ADB) hỗ trợ đầu tư xây dựng mới 21 trạm y tế, nâng cấp cải tạo 25 trạm y tế xã trên địa bàn tỉnh với tổng mức đầu tư 208,6 tỷ đồng. Hiện dự án do Ban Quản lý Dự án Đầu tư xây dựng các công trình dân dụng và Công nghiệp tỉnh làm chủ đầu tư và đang chuẩn bị khởi công thực hiện</w:t>
      </w:r>
    </w:p>
  </w:footnote>
  <w:footnote w:id="8">
    <w:p w:rsidR="00291AF2" w:rsidRDefault="004E05BB">
      <w:pPr>
        <w:pStyle w:val="FootnoteText"/>
        <w:jc w:val="both"/>
        <w:rPr>
          <w:rFonts w:ascii="Times New Roman" w:hAnsi="Times New Roman" w:cs="Times New Roman"/>
          <w:sz w:val="18"/>
          <w:szCs w:val="18"/>
          <w:lang w:val="nl-NL"/>
        </w:rPr>
      </w:pPr>
      <w:r>
        <w:rPr>
          <w:rStyle w:val="FootnoteReference"/>
          <w:rFonts w:ascii="Times New Roman" w:hAnsi="Times New Roman" w:cs="Times New Roman"/>
          <w:sz w:val="18"/>
          <w:szCs w:val="18"/>
        </w:rPr>
        <w:footnoteRef/>
      </w:r>
      <w:r>
        <w:rPr>
          <w:rFonts w:ascii="Times New Roman" w:hAnsi="Times New Roman" w:cs="Times New Roman"/>
          <w:sz w:val="18"/>
          <w:szCs w:val="18"/>
          <w:lang w:val="nl-NL"/>
        </w:rPr>
        <w:t xml:space="preserve"> Chương trình phục hồi phát triển kinh tế lĩnh vực y tế hỗ trợ đầu tư, nâng cấp 4 TTYT tại các huyện Đức Thọ, Lộc Hà, Can Lộc, Hương Sơn; dự án nâng cấp TTYT huyện Cẩm Xuyên hiện đang hoàn thiện các thủ tục chuẩn bị đầu tư</w:t>
      </w:r>
    </w:p>
  </w:footnote>
  <w:footnote w:id="9">
    <w:p w:rsidR="00291AF2" w:rsidRDefault="004E05BB">
      <w:pPr>
        <w:pStyle w:val="FootnoteText"/>
        <w:jc w:val="both"/>
        <w:rPr>
          <w:rFonts w:ascii="Times New Roman" w:hAnsi="Times New Roman" w:cs="Times New Roman"/>
          <w:sz w:val="18"/>
          <w:szCs w:val="18"/>
          <w:lang w:val="nl-NL"/>
        </w:rPr>
      </w:pPr>
      <w:r>
        <w:rPr>
          <w:rStyle w:val="FootnoteReference"/>
          <w:rFonts w:ascii="Times New Roman" w:hAnsi="Times New Roman" w:cs="Times New Roman"/>
          <w:sz w:val="18"/>
          <w:szCs w:val="18"/>
        </w:rPr>
        <w:footnoteRef/>
      </w:r>
      <w:r>
        <w:rPr>
          <w:rFonts w:ascii="Times New Roman" w:hAnsi="Times New Roman" w:cs="Times New Roman"/>
          <w:sz w:val="18"/>
          <w:szCs w:val="18"/>
          <w:lang w:val="nl-NL"/>
        </w:rPr>
        <w:t xml:space="preserve"> Các xã</w:t>
      </w:r>
      <w:r>
        <w:rPr>
          <w:rFonts w:ascii="Times New Roman" w:hAnsi="Times New Roman" w:cs="Times New Roman"/>
          <w:sz w:val="18"/>
          <w:szCs w:val="18"/>
          <w:lang w:val="vi-VN"/>
        </w:rPr>
        <w:t>: Cổ Đạm, Đan Trường, Hương Long, Hương Trạch, Đỉnh Bàn, Thạch Khê, Thạch Hội, Lâm Hợp, Kỳ Tây, Kỳ Bắc, Kỳ Giang, Thạch Châu, Cẩm Mỹ, Cẩm Quang, Hưng Trí, Đậu Liêu, Thạch Bình, Mỹ Lộc, Đức Hương</w:t>
      </w:r>
      <w:r>
        <w:rPr>
          <w:rFonts w:ascii="Times New Roman" w:hAnsi="Times New Roman" w:cs="Times New Roman"/>
          <w:sz w:val="18"/>
          <w:szCs w:val="18"/>
          <w:lang w:val="nl-NL"/>
        </w:rPr>
        <w:t xml:space="preserve"> với tổng mức đầu tư là 264,5 tỷ đồng từ Chương trình phục hồi phát triển kinh tế lĩnh vực y tế</w:t>
      </w:r>
    </w:p>
  </w:footnote>
  <w:footnote w:id="10">
    <w:p w:rsidR="00291AF2" w:rsidRDefault="004E05BB">
      <w:pPr>
        <w:pStyle w:val="FootnoteText"/>
        <w:jc w:val="both"/>
        <w:rPr>
          <w:rFonts w:ascii="Times New Roman" w:hAnsi="Times New Roman" w:cs="Times New Roman"/>
          <w:sz w:val="18"/>
          <w:szCs w:val="18"/>
          <w:lang w:val="da-DK"/>
        </w:rPr>
      </w:pPr>
      <w:r>
        <w:rPr>
          <w:rStyle w:val="FootnoteReference"/>
          <w:rFonts w:ascii="Times New Roman" w:hAnsi="Times New Roman" w:cs="Times New Roman"/>
          <w:sz w:val="18"/>
          <w:szCs w:val="18"/>
        </w:rPr>
        <w:footnoteRef/>
      </w:r>
      <w:r>
        <w:rPr>
          <w:rFonts w:ascii="Times New Roman" w:hAnsi="Times New Roman" w:cs="Times New Roman"/>
          <w:sz w:val="18"/>
          <w:szCs w:val="18"/>
          <w:lang w:val="da-DK"/>
        </w:rPr>
        <w:t xml:space="preserve"> </w:t>
      </w:r>
      <w:r>
        <w:rPr>
          <w:rFonts w:ascii="Times New Roman" w:hAnsi="Times New Roman" w:cs="Times New Roman"/>
          <w:sz w:val="18"/>
          <w:szCs w:val="18"/>
          <w:lang w:val="es-ES_tradnl"/>
        </w:rPr>
        <w:t xml:space="preserve">Giá bán lúa tươi tại ruộng từ 6.000-7.000đ/kg, </w:t>
      </w:r>
      <w:r>
        <w:rPr>
          <w:rFonts w:ascii="Times New Roman" w:hAnsi="Times New Roman" w:cs="Times New Roman"/>
          <w:sz w:val="18"/>
          <w:szCs w:val="18"/>
          <w:lang w:val="da-DK"/>
        </w:rPr>
        <w:t xml:space="preserve">cao hơn khoảng 15% so với cùng kỳ; </w:t>
      </w:r>
      <w:r>
        <w:rPr>
          <w:rFonts w:ascii="Times New Roman" w:hAnsi="Times New Roman" w:cs="Times New Roman"/>
          <w:sz w:val="18"/>
          <w:szCs w:val="18"/>
          <w:lang w:val="es-ES_tradnl"/>
        </w:rPr>
        <w:t xml:space="preserve">giá bán bưởi khoảng 20.000-30.000 đồng/kg, cao hơn 15-20%; </w:t>
      </w:r>
      <w:r>
        <w:rPr>
          <w:rFonts w:ascii="Times New Roman" w:hAnsi="Times New Roman" w:cs="Times New Roman"/>
          <w:iCs/>
          <w:sz w:val="18"/>
          <w:szCs w:val="18"/>
          <w:lang w:val="es-ES_tradnl"/>
        </w:rPr>
        <w:t>giá bán thịt lợn cao hơn 15-20%; giá thức ăn chăn nuôi điều chỉnh giảm 4 lần…</w:t>
      </w:r>
    </w:p>
  </w:footnote>
  <w:footnote w:id="11">
    <w:p w:rsidR="00291AF2" w:rsidRDefault="004E05BB">
      <w:pPr>
        <w:pStyle w:val="FootnoteText"/>
        <w:jc w:val="both"/>
        <w:rPr>
          <w:rFonts w:ascii="Times New Roman" w:hAnsi="Times New Roman" w:cs="Times New Roman"/>
          <w:sz w:val="18"/>
          <w:szCs w:val="18"/>
          <w:lang w:val="es-ES_tradnl"/>
        </w:rPr>
      </w:pPr>
      <w:r>
        <w:rPr>
          <w:rStyle w:val="FootnoteReference"/>
          <w:rFonts w:ascii="Times New Roman" w:hAnsi="Times New Roman" w:cs="Times New Roman"/>
          <w:sz w:val="18"/>
          <w:szCs w:val="18"/>
        </w:rPr>
        <w:footnoteRef/>
      </w:r>
      <w:r>
        <w:rPr>
          <w:rFonts w:ascii="Times New Roman" w:hAnsi="Times New Roman" w:cs="Times New Roman"/>
          <w:sz w:val="18"/>
          <w:szCs w:val="18"/>
          <w:lang w:val="da-DK"/>
        </w:rPr>
        <w:t xml:space="preserve"> Nhờ áp dụng </w:t>
      </w:r>
      <w:r>
        <w:rPr>
          <w:rFonts w:ascii="Times New Roman" w:hAnsi="Times New Roman" w:cs="Times New Roman"/>
          <w:sz w:val="18"/>
          <w:szCs w:val="18"/>
          <w:lang w:val="es-ES_tradnl"/>
        </w:rPr>
        <w:t xml:space="preserve">các giải pháp đồng bộ về </w:t>
      </w:r>
      <w:r>
        <w:rPr>
          <w:rFonts w:ascii="Times New Roman" w:hAnsi="Times New Roman" w:cs="Times New Roman"/>
          <w:sz w:val="18"/>
          <w:szCs w:val="18"/>
          <w:lang w:val="da-DK"/>
        </w:rPr>
        <w:t xml:space="preserve">cơ cấu giống, lịch thời vụ phù hợp, ứng dụng các tiến bộ kỹ thuật </w:t>
      </w:r>
      <w:r>
        <w:rPr>
          <w:rFonts w:ascii="Times New Roman" w:hAnsi="Times New Roman" w:cs="Times New Roman"/>
          <w:sz w:val="18"/>
          <w:szCs w:val="18"/>
          <w:lang w:val="es-ES_tradnl"/>
        </w:rPr>
        <w:t>cùng với thời tiết khá thuận lợi.</w:t>
      </w:r>
      <w:r>
        <w:rPr>
          <w:rFonts w:ascii="Times New Roman" w:hAnsi="Times New Roman" w:cs="Times New Roman"/>
          <w:sz w:val="18"/>
          <w:szCs w:val="18"/>
          <w:lang w:val="da-DK"/>
        </w:rPr>
        <w:t xml:space="preserve"> Năng suất lúa cả năm đạt 57,14 tạ/ha (tăng 3,1%), trong đó vụ Xuân đạt 61,17 tạ/ha (tăng 1,58 tạ/ha), vụ Hè Thu đạt </w:t>
      </w:r>
      <w:r>
        <w:rPr>
          <w:rFonts w:ascii="Times New Roman" w:hAnsi="Times New Roman" w:cs="Times New Roman"/>
          <w:sz w:val="18"/>
          <w:szCs w:val="18"/>
          <w:lang w:val="es-ES_tradnl"/>
        </w:rPr>
        <w:t>51,94 tạ/ha (tăng 1,66 tạ/ha). Sản lượng lúa cả năm đạt 59,5 vạn tấn (tăng 1,78 vạn tấn), trong đó: vụ Xuân trên 36,3 vạn tấn (tăng 2,5%), vụ Hè Thu 23,2 vạn tấn (tăng 3,6%).</w:t>
      </w:r>
    </w:p>
  </w:footnote>
  <w:footnote w:id="12">
    <w:p w:rsidR="00291AF2" w:rsidRDefault="004E05BB">
      <w:pPr>
        <w:pStyle w:val="FootnoteText"/>
        <w:jc w:val="both"/>
        <w:rPr>
          <w:rFonts w:ascii="Times New Roman" w:hAnsi="Times New Roman" w:cs="Times New Roman"/>
          <w:sz w:val="18"/>
          <w:szCs w:val="18"/>
          <w:lang w:val="es-ES_tradnl"/>
        </w:rPr>
      </w:pPr>
      <w:r>
        <w:rPr>
          <w:rStyle w:val="FootnoteReference"/>
          <w:rFonts w:ascii="Times New Roman" w:hAnsi="Times New Roman" w:cs="Times New Roman"/>
          <w:sz w:val="18"/>
          <w:szCs w:val="18"/>
        </w:rPr>
        <w:footnoteRef/>
      </w:r>
      <w:r>
        <w:rPr>
          <w:rFonts w:ascii="Times New Roman" w:hAnsi="Times New Roman" w:cs="Times New Roman"/>
          <w:sz w:val="18"/>
          <w:szCs w:val="18"/>
          <w:lang w:val="es-ES_tradnl"/>
        </w:rPr>
        <w:t xml:space="preserve"> Các mô hình liên kết sản xuất với Tập đoàn Quế Lâm trong vụ Xuân 2024: 144 ha lúa, 0,3 ha dưa hấu, 1,8 ha đậu tương, 3 ha cam bù, vú sữa; vụ Hè thu: 66 ha lúa, 0,4 ha dưa hấu, 0,1 ha dưa lê, 1 ha vú sữa, 2 ha cam bù, 100 gốc ổi, 200 gốc na... Hiện nay đã có 09 huyện đã ký kết hợp tác với Tập đoàn Quế Lâm, xây dựng được 17 mô hình chăn nuôi, 66 ha lúa và cây ăn quả sản xuất hữu cơ theo quy trình của Tập đoàn; hình thành các cơ sở kinh doanh và giới thiệu sản phẩm tại TP. Hà Tĩnh, Vũ Quang, Cẩm Xuyên, Kỳ Anh, Can Lộc...</w:t>
      </w:r>
    </w:p>
  </w:footnote>
  <w:footnote w:id="13">
    <w:p w:rsidR="00291AF2" w:rsidRDefault="004E05BB">
      <w:pPr>
        <w:pStyle w:val="FootnoteText"/>
        <w:jc w:val="both"/>
        <w:rPr>
          <w:rFonts w:ascii="Times New Roman" w:hAnsi="Times New Roman" w:cs="Times New Roman"/>
          <w:sz w:val="18"/>
          <w:szCs w:val="18"/>
          <w:lang w:val="es-ES_tradnl"/>
        </w:rPr>
      </w:pPr>
      <w:r>
        <w:rPr>
          <w:rStyle w:val="FootnoteReference"/>
          <w:rFonts w:ascii="Times New Roman" w:hAnsi="Times New Roman" w:cs="Times New Roman"/>
          <w:sz w:val="18"/>
          <w:szCs w:val="18"/>
        </w:rPr>
        <w:footnoteRef/>
      </w:r>
      <w:r>
        <w:rPr>
          <w:rFonts w:ascii="Times New Roman" w:hAnsi="Times New Roman" w:cs="Times New Roman"/>
          <w:sz w:val="18"/>
          <w:szCs w:val="18"/>
          <w:lang w:val="es-ES_tradnl"/>
        </w:rPr>
        <w:t xml:space="preserve"> Toàn tỉnh hiện có 05 huyện ký kết hợp tác liên kết sản xuất trồng dứa, ngô ngọt với Công ty Đồng Giao, trong đó vụ Đông 2023-2024: 14 ha ngô ngọt (Hương Sơn 13 ha, Kỳ Anh 0,8 ha, Hương Khê 0,1 ha), 84 ha dứa (Cẩm Xuyên 20 ha, Kỳ Anh 56 ha, Hương Khê 1 ha, Vũ Quang 6,6 ha). </w:t>
      </w:r>
    </w:p>
  </w:footnote>
  <w:footnote w:id="14">
    <w:p w:rsidR="00291AF2" w:rsidRDefault="004E05BB">
      <w:pPr>
        <w:pStyle w:val="FootnoteText"/>
        <w:jc w:val="both"/>
        <w:rPr>
          <w:rFonts w:ascii="Times New Roman" w:hAnsi="Times New Roman" w:cs="Times New Roman"/>
          <w:sz w:val="18"/>
          <w:szCs w:val="18"/>
          <w:lang w:val="es-ES_tradnl"/>
        </w:rPr>
      </w:pPr>
      <w:r>
        <w:rPr>
          <w:rStyle w:val="FootnoteReference"/>
          <w:rFonts w:ascii="Times New Roman" w:hAnsi="Times New Roman" w:cs="Times New Roman"/>
          <w:sz w:val="18"/>
          <w:szCs w:val="18"/>
        </w:rPr>
        <w:footnoteRef/>
      </w:r>
      <w:r>
        <w:rPr>
          <w:rFonts w:ascii="Times New Roman" w:hAnsi="Times New Roman" w:cs="Times New Roman"/>
          <w:sz w:val="18"/>
          <w:szCs w:val="18"/>
          <w:lang w:val="es-ES_tradnl"/>
        </w:rPr>
        <w:t xml:space="preserve"> Năm 2024, diện tích chuyển đổi, tích tụ ruộng đất đạt 1.383 ha, lũy kế đến nay đạt hơn 10.693 ha (đạt 62% chỉ tiêu theo NQ 06 của Tỉnh ủy). </w:t>
      </w:r>
    </w:p>
  </w:footnote>
  <w:footnote w:id="15">
    <w:p w:rsidR="00291AF2" w:rsidRDefault="004E05BB">
      <w:pPr>
        <w:pStyle w:val="FootnoteText"/>
        <w:rPr>
          <w:rFonts w:ascii="Times New Roman" w:hAnsi="Times New Roman" w:cs="Times New Roman"/>
          <w:lang w:val="es-ES_tradnl"/>
        </w:rPr>
      </w:pPr>
      <w:r>
        <w:rPr>
          <w:rStyle w:val="FootnoteReference"/>
          <w:rFonts w:ascii="Times New Roman" w:hAnsi="Times New Roman" w:cs="Times New Roman"/>
        </w:rPr>
        <w:footnoteRef/>
      </w:r>
      <w:r>
        <w:rPr>
          <w:rFonts w:ascii="Times New Roman" w:hAnsi="Times New Roman" w:cs="Times New Roman"/>
          <w:bCs/>
          <w:szCs w:val="28"/>
          <w:lang w:val="nl-NL"/>
        </w:rPr>
        <w:t>hiện nay mới có 8 tỉnh thành trên toàn quốc đạt chuẩn phổ cập giáo dục THCS mức độ 3, xoá mù chữ mức độ 2</w:t>
      </w:r>
    </w:p>
  </w:footnote>
  <w:footnote w:id="16">
    <w:p w:rsidR="00291AF2" w:rsidRDefault="004E05BB">
      <w:pPr>
        <w:pStyle w:val="FootnoteText"/>
        <w:jc w:val="both"/>
        <w:rPr>
          <w:rFonts w:ascii="Times New Roman" w:hAnsi="Times New Roman" w:cs="Times New Roman"/>
          <w:sz w:val="18"/>
          <w:szCs w:val="18"/>
          <w:lang w:val="nl-NL"/>
        </w:rPr>
      </w:pPr>
      <w:r>
        <w:rPr>
          <w:rStyle w:val="FootnoteReference"/>
          <w:rFonts w:ascii="Times New Roman" w:hAnsi="Times New Roman" w:cs="Times New Roman"/>
          <w:sz w:val="18"/>
          <w:szCs w:val="18"/>
        </w:rPr>
        <w:footnoteRef/>
      </w:r>
      <w:r>
        <w:rPr>
          <w:rFonts w:ascii="Times New Roman" w:hAnsi="Times New Roman" w:cs="Times New Roman"/>
          <w:sz w:val="18"/>
          <w:szCs w:val="18"/>
          <w:lang w:val="nl-NL"/>
        </w:rPr>
        <w:t xml:space="preserve"> Có </w:t>
      </w:r>
      <w:r>
        <w:rPr>
          <w:rFonts w:ascii="Times New Roman" w:hAnsi="Times New Roman" w:cs="Times New Roman"/>
          <w:spacing w:val="-4"/>
          <w:sz w:val="18"/>
          <w:szCs w:val="18"/>
          <w:lang w:val="nl-NL"/>
        </w:rPr>
        <w:t>20/20 xã đạt chuẩn NTM;</w:t>
      </w:r>
      <w:r>
        <w:rPr>
          <w:rFonts w:ascii="Times New Roman" w:hAnsi="Times New Roman" w:cs="Times New Roman"/>
          <w:sz w:val="18"/>
          <w:szCs w:val="18"/>
          <w:lang w:val="nl-NL"/>
        </w:rPr>
        <w:t xml:space="preserve"> 2/2</w:t>
      </w:r>
      <w:r>
        <w:rPr>
          <w:rFonts w:ascii="Times New Roman" w:hAnsi="Times New Roman" w:cs="Times New Roman"/>
          <w:spacing w:val="-4"/>
          <w:sz w:val="18"/>
          <w:szCs w:val="18"/>
          <w:lang w:val="nl-NL"/>
        </w:rPr>
        <w:t xml:space="preserve"> </w:t>
      </w:r>
      <w:r>
        <w:rPr>
          <w:rFonts w:ascii="Times New Roman" w:hAnsi="Times New Roman" w:cs="Times New Roman"/>
          <w:spacing w:val="-4"/>
          <w:sz w:val="18"/>
          <w:szCs w:val="18"/>
          <w:shd w:val="clear" w:color="auto" w:fill="FFFFFF"/>
          <w:lang w:val="nl-NL"/>
        </w:rPr>
        <w:t>Thị trấn đạt chuẩn đô thị văn minh (Thạch Hà và Lộc Hà)</w:t>
      </w:r>
      <w:r>
        <w:rPr>
          <w:rFonts w:ascii="Times New Roman" w:hAnsi="Times New Roman" w:cs="Times New Roman"/>
          <w:sz w:val="18"/>
          <w:szCs w:val="18"/>
          <w:lang w:val="nl-NL"/>
        </w:rPr>
        <w:t>; 57,1% số xã đạt chuẩn nông thôn mới nâng cao; đạt 9/9 tiêu chí huyện nông thôn mới (</w:t>
      </w:r>
      <w:r>
        <w:rPr>
          <w:rFonts w:ascii="Times New Roman" w:hAnsi="Times New Roman" w:cs="Times New Roman"/>
          <w:spacing w:val="-4"/>
          <w:sz w:val="18"/>
          <w:szCs w:val="18"/>
          <w:lang w:val="nl-NL"/>
        </w:rPr>
        <w:t>Số 1: Quy hoạch, số 2: Giao thông, số 3: Thủy lợi và Phòng chống Thiên tai, số 4: Điện, Số 5: Văn hóa - Giáo dục - Y tế, số 6: Kinh tế, số 7: Môi trường, Số 8: Chất lượng môi trường sống và số 9: Hệ thống chính trị - An ninh trật tự - Hành chính công);</w:t>
      </w:r>
      <w:r>
        <w:rPr>
          <w:rFonts w:ascii="Times New Roman" w:hAnsi="Times New Roman" w:cs="Times New Roman"/>
          <w:sz w:val="18"/>
          <w:szCs w:val="18"/>
          <w:lang w:val="nl-NL"/>
        </w:rPr>
        <w:t>.</w:t>
      </w:r>
    </w:p>
  </w:footnote>
  <w:footnote w:id="17">
    <w:p w:rsidR="00291AF2" w:rsidRDefault="004E05BB">
      <w:pPr>
        <w:pStyle w:val="FootnoteText"/>
        <w:jc w:val="both"/>
        <w:rPr>
          <w:rFonts w:ascii="Times New Roman" w:hAnsi="Times New Roman" w:cs="Times New Roman"/>
          <w:sz w:val="18"/>
          <w:szCs w:val="18"/>
          <w:lang w:val="nl-NL"/>
        </w:rPr>
      </w:pPr>
      <w:r>
        <w:rPr>
          <w:rStyle w:val="FootnoteReference"/>
          <w:rFonts w:ascii="Times New Roman" w:hAnsi="Times New Roman" w:cs="Times New Roman"/>
          <w:sz w:val="18"/>
          <w:szCs w:val="18"/>
        </w:rPr>
        <w:footnoteRef/>
      </w:r>
      <w:r>
        <w:rPr>
          <w:rFonts w:ascii="Times New Roman" w:hAnsi="Times New Roman" w:cs="Times New Roman"/>
          <w:sz w:val="18"/>
          <w:szCs w:val="18"/>
          <w:lang w:val="nl-NL"/>
        </w:rPr>
        <w:t xml:space="preserve"> Thị trấn Nghèn và thị trấn Đồng Lộc chưa được công nhận đạt chuẩn đô thị văn minh.</w:t>
      </w:r>
    </w:p>
  </w:footnote>
  <w:footnote w:id="18">
    <w:p w:rsidR="00291AF2" w:rsidRDefault="004E05BB">
      <w:pPr>
        <w:pStyle w:val="FootnoteText"/>
        <w:rPr>
          <w:lang w:val="nl-NL"/>
        </w:rPr>
      </w:pPr>
      <w:r>
        <w:rPr>
          <w:rStyle w:val="FootnoteReference"/>
        </w:rPr>
        <w:footnoteRef/>
      </w:r>
      <w:r>
        <w:rPr>
          <w:lang w:val="nl-NL"/>
        </w:rPr>
        <w:t xml:space="preserve"> </w:t>
      </w:r>
      <w:r>
        <w:rPr>
          <w:rFonts w:ascii="Times New Roman" w:hAnsi="Times New Roman" w:cs="Times New Roman"/>
          <w:spacing w:val="-2"/>
          <w:lang w:val="nl-NL"/>
        </w:rPr>
        <w:t>trong đó, có trên 166.000 hộ có công trình, biện pháp xử lý chất thải thực phẩm tại hộ và có 30 mô hình xử lý chất thải thực phẩm tập trung</w:t>
      </w:r>
    </w:p>
  </w:footnote>
  <w:footnote w:id="19">
    <w:p w:rsidR="00291AF2" w:rsidRDefault="004E05BB">
      <w:pPr>
        <w:pStyle w:val="FootnoteText"/>
        <w:rPr>
          <w:lang w:val="nl-NL"/>
        </w:rPr>
      </w:pPr>
      <w:r>
        <w:rPr>
          <w:rStyle w:val="FootnoteReference"/>
        </w:rPr>
        <w:footnoteRef/>
      </w:r>
      <w:r>
        <w:rPr>
          <w:lang w:val="nl-NL"/>
        </w:rPr>
        <w:t xml:space="preserve"> </w:t>
      </w:r>
      <w:r>
        <w:rPr>
          <w:rFonts w:ascii="Times New Roman" w:hAnsi="Times New Roman" w:cs="Times New Roman"/>
          <w:lang w:val="nl-NL"/>
        </w:rPr>
        <w:t>trong đó lượng CTRSH được phân loại và tự xử lý tại hộ gia đình là 227 tấn, đạt 30,5% lượng phát sinh; lượng CTRSH được vận chuyển về xử lý tại các khu xử lý là 445,1 tấn</w:t>
      </w:r>
    </w:p>
  </w:footnote>
  <w:footnote w:id="20">
    <w:p w:rsidR="00291AF2" w:rsidRDefault="004E05BB">
      <w:pPr>
        <w:pStyle w:val="FootnoteText"/>
        <w:widowControl w:val="0"/>
        <w:jc w:val="both"/>
        <w:rPr>
          <w:rFonts w:ascii="Times New Roman" w:hAnsi="Times New Roman" w:cs="Times New Roman"/>
          <w:sz w:val="18"/>
          <w:szCs w:val="18"/>
          <w:lang w:val="vi-VN"/>
        </w:rPr>
      </w:pPr>
      <w:r>
        <w:rPr>
          <w:rStyle w:val="FootnoteReference"/>
          <w:rFonts w:ascii="Times New Roman" w:hAnsi="Times New Roman" w:cs="Times New Roman"/>
          <w:sz w:val="18"/>
          <w:szCs w:val="18"/>
        </w:rPr>
        <w:footnoteRef/>
      </w:r>
      <w:r>
        <w:rPr>
          <w:rFonts w:ascii="Times New Roman" w:hAnsi="Times New Roman" w:cs="Times New Roman"/>
          <w:sz w:val="18"/>
          <w:szCs w:val="18"/>
          <w:lang w:val="nl-NL"/>
        </w:rPr>
        <w:t xml:space="preserve"> </w:t>
      </w:r>
      <w:r>
        <w:rPr>
          <w:rFonts w:ascii="Times New Roman" w:hAnsi="Times New Roman" w:cs="Times New Roman"/>
          <w:sz w:val="18"/>
          <w:szCs w:val="18"/>
          <w:lang w:val="vi-VN"/>
        </w:rPr>
        <w:t xml:space="preserve">MTTQ các cấp đã phối hợp triển khai 2011 công trình phần việc chào mừng Đại hội MTTQ Việt Nam các cấp, Đại hội </w:t>
      </w:r>
      <w:r>
        <w:rPr>
          <w:rFonts w:ascii="Times New Roman" w:hAnsi="Times New Roman" w:cs="Times New Roman"/>
          <w:sz w:val="18"/>
          <w:szCs w:val="18"/>
          <w:lang w:val="nl-NL"/>
        </w:rPr>
        <w:t xml:space="preserve">đại biểu toàn quốc </w:t>
      </w:r>
      <w:r>
        <w:rPr>
          <w:rFonts w:ascii="Times New Roman" w:hAnsi="Times New Roman" w:cs="Times New Roman"/>
          <w:sz w:val="18"/>
          <w:szCs w:val="18"/>
          <w:lang w:val="vi-VN"/>
        </w:rPr>
        <w:t>MTTQ Việt Nam nhiệm kỳ 2024 - 2029.</w:t>
      </w:r>
    </w:p>
  </w:footnote>
  <w:footnote w:id="21">
    <w:p w:rsidR="00291AF2" w:rsidRDefault="004E05BB">
      <w:pPr>
        <w:pStyle w:val="FootnoteText"/>
        <w:widowControl w:val="0"/>
        <w:jc w:val="both"/>
        <w:rPr>
          <w:rFonts w:ascii="Times New Roman" w:hAnsi="Times New Roman" w:cs="Times New Roman"/>
          <w:sz w:val="18"/>
          <w:szCs w:val="18"/>
          <w:lang w:val="vi-VN" w:eastAsia="en-US"/>
        </w:rPr>
      </w:pPr>
      <w:r>
        <w:rPr>
          <w:rStyle w:val="FootnoteReference"/>
          <w:rFonts w:ascii="Times New Roman" w:hAnsi="Times New Roman" w:cs="Times New Roman"/>
          <w:sz w:val="18"/>
          <w:szCs w:val="18"/>
        </w:rPr>
        <w:footnoteRef/>
      </w:r>
      <w:r>
        <w:rPr>
          <w:rFonts w:ascii="Times New Roman" w:hAnsi="Times New Roman" w:cs="Times New Roman"/>
          <w:sz w:val="18"/>
          <w:szCs w:val="18"/>
          <w:lang w:val="es-MX" w:eastAsia="en-US"/>
        </w:rPr>
        <w:t xml:space="preserve"> Tiêu biểu: Huyện Cẩm Xuyên, Thạch Hà, Can Lộc, Hương Sơn… phối hợp tổ chức phát động 60 </w:t>
      </w:r>
      <w:r>
        <w:rPr>
          <w:rFonts w:ascii="Times New Roman" w:hAnsi="Times New Roman" w:cs="Times New Roman"/>
          <w:sz w:val="18"/>
          <w:szCs w:val="18"/>
          <w:lang w:val="vi-VN" w:eastAsia="en-US"/>
        </w:rPr>
        <w:t>ngày, 10 ngày cao điểm xây dựng nông thôn mới, đô thị văn minh trên địa bàn toàn huyện. Hầu hết các địa phương trong tỉnh tiếp tục duy trì phong trào thứ 7, chủ nhật tham gia các hoạt động xây dựng nông thôn mới, đô thị văn minh như: làm đường giao thông nông thôn, kênh mương nội đồng, vệ sinh môi trường, duy trì các tuyến đường tự quản của các tổ chức đoàn thể…</w:t>
      </w:r>
    </w:p>
  </w:footnote>
  <w:footnote w:id="22">
    <w:p w:rsidR="00291AF2" w:rsidRDefault="004E05BB">
      <w:pPr>
        <w:pStyle w:val="FootnoteText"/>
        <w:rPr>
          <w:rFonts w:ascii="Times New Roman" w:hAnsi="Times New Roman" w:cs="Times New Roman"/>
          <w:sz w:val="18"/>
          <w:szCs w:val="18"/>
          <w:lang w:val="vi-VN"/>
        </w:rPr>
      </w:pPr>
      <w:r>
        <w:rPr>
          <w:rStyle w:val="FootnoteReference"/>
          <w:rFonts w:ascii="Times New Roman" w:hAnsi="Times New Roman" w:cs="Times New Roman"/>
          <w:sz w:val="18"/>
          <w:szCs w:val="18"/>
        </w:rPr>
        <w:footnoteRef/>
      </w:r>
      <w:r>
        <w:rPr>
          <w:rFonts w:ascii="Times New Roman" w:hAnsi="Times New Roman" w:cs="Times New Roman"/>
          <w:sz w:val="18"/>
          <w:szCs w:val="18"/>
          <w:lang w:val="vi-VN"/>
        </w:rPr>
        <w:t xml:space="preserve"> </w:t>
      </w:r>
      <w:r>
        <w:rPr>
          <w:rFonts w:ascii="Times New Roman" w:hAnsi="Times New Roman" w:cs="Times New Roman"/>
          <w:sz w:val="18"/>
          <w:szCs w:val="18"/>
          <w:lang w:val="es-MX"/>
        </w:rPr>
        <w:t>lũy kế đến nay toàn tỉnh có 193 mô hình đảm bảo hoạt động thực chất</w:t>
      </w:r>
    </w:p>
  </w:footnote>
  <w:footnote w:id="23">
    <w:p w:rsidR="00291AF2" w:rsidRDefault="004E05BB">
      <w:pPr>
        <w:pStyle w:val="FootnoteText"/>
        <w:widowControl w:val="0"/>
        <w:jc w:val="both"/>
        <w:rPr>
          <w:rFonts w:ascii="Times New Roman" w:hAnsi="Times New Roman" w:cs="Times New Roman"/>
          <w:sz w:val="18"/>
          <w:szCs w:val="18"/>
          <w:lang w:val="es-MX"/>
        </w:rPr>
      </w:pPr>
      <w:r>
        <w:rPr>
          <w:rStyle w:val="FootnoteReference"/>
          <w:rFonts w:ascii="Times New Roman" w:hAnsi="Times New Roman" w:cs="Times New Roman"/>
          <w:sz w:val="18"/>
          <w:szCs w:val="18"/>
        </w:rPr>
        <w:footnoteRef/>
      </w:r>
      <w:r>
        <w:rPr>
          <w:rFonts w:ascii="Times New Roman" w:hAnsi="Times New Roman" w:cs="Times New Roman"/>
          <w:sz w:val="18"/>
          <w:szCs w:val="18"/>
          <w:lang w:val="es-MX"/>
        </w:rPr>
        <w:t xml:space="preserve"> </w:t>
      </w:r>
      <w:r>
        <w:rPr>
          <w:rFonts w:ascii="Times New Roman" w:hAnsi="Times New Roman" w:cs="Times New Roman"/>
          <w:sz w:val="18"/>
          <w:szCs w:val="18"/>
          <w:lang w:val="es-ES_tradnl"/>
        </w:rPr>
        <w:t xml:space="preserve">Quỹ “Vì người nghèo” các cấp </w:t>
      </w:r>
      <w:r>
        <w:rPr>
          <w:rFonts w:ascii="Times New Roman" w:hAnsi="Times New Roman" w:cs="Times New Roman"/>
          <w:sz w:val="18"/>
          <w:szCs w:val="18"/>
          <w:lang w:val="es-MX"/>
        </w:rPr>
        <w:t xml:space="preserve">vận động hỗ trợ xây mới và sửa chữa 355 nhà ở trị giá trên </w:t>
      </w:r>
      <w:r>
        <w:rPr>
          <w:rFonts w:ascii="Times New Roman" w:hAnsi="Times New Roman" w:cs="Times New Roman"/>
          <w:bCs/>
          <w:sz w:val="18"/>
          <w:szCs w:val="18"/>
          <w:lang w:val="es-MX"/>
        </w:rPr>
        <w:t xml:space="preserve">15,244 </w:t>
      </w:r>
      <w:r>
        <w:rPr>
          <w:rFonts w:ascii="Times New Roman" w:hAnsi="Times New Roman" w:cs="Times New Roman"/>
          <w:sz w:val="18"/>
          <w:szCs w:val="18"/>
          <w:lang w:val="es-MX"/>
        </w:rPr>
        <w:t xml:space="preserve">tỷ đồng, hỗ trợ 755 mô hình sinh kế trị giá trên 3,044 tỷ đồng, hỗ trợ khám chữa bệnh cho 201 lượt người, trị giá 237 triệu đồng, hỗ trợ học sinh học tập cho 890 lượt đối tượng với số tiền 459 triệu đồng, hỗ trợ 634 thẻ bảo hiểm y tế trị giá 331 triệu đồng,... Nguồn an sinh xã hội các cấp vận động hỗ trợ xây mới và sửa chữa 170 nhà ở trị giá trên </w:t>
      </w:r>
      <w:r>
        <w:rPr>
          <w:rFonts w:ascii="Times New Roman" w:hAnsi="Times New Roman" w:cs="Times New Roman"/>
          <w:bCs/>
          <w:sz w:val="18"/>
          <w:szCs w:val="18"/>
          <w:lang w:val="es-MX"/>
        </w:rPr>
        <w:t xml:space="preserve">9,077 </w:t>
      </w:r>
      <w:r>
        <w:rPr>
          <w:rFonts w:ascii="Times New Roman" w:hAnsi="Times New Roman" w:cs="Times New Roman"/>
          <w:sz w:val="18"/>
          <w:szCs w:val="18"/>
          <w:lang w:val="es-MX"/>
        </w:rPr>
        <w:t xml:space="preserve">tỷ đồng; hỗ trợ 556 mô hình sinh kế trị giá 3,031 tỷ đồng; hỗ trợ khám chữa bệnh, học tập 2.313 lượt người với số tiền </w:t>
      </w:r>
      <w:r>
        <w:rPr>
          <w:rFonts w:ascii="Times New Roman" w:hAnsi="Times New Roman" w:cs="Times New Roman"/>
          <w:bCs/>
          <w:sz w:val="18"/>
          <w:szCs w:val="18"/>
          <w:lang w:val="es-MX"/>
        </w:rPr>
        <w:t>1,636 tỷ</w:t>
      </w:r>
      <w:r>
        <w:rPr>
          <w:rFonts w:ascii="Times New Roman" w:hAnsi="Times New Roman" w:cs="Times New Roman"/>
          <w:sz w:val="18"/>
          <w:szCs w:val="18"/>
          <w:lang w:val="es-MX"/>
        </w:rPr>
        <w:t xml:space="preserve"> đồng; hỗ trợ </w:t>
      </w:r>
      <w:r>
        <w:rPr>
          <w:rFonts w:ascii="Times New Roman" w:hAnsi="Times New Roman" w:cs="Times New Roman"/>
          <w:bCs/>
          <w:sz w:val="18"/>
          <w:szCs w:val="18"/>
          <w:lang w:val="es-MX"/>
        </w:rPr>
        <w:t xml:space="preserve">92 </w:t>
      </w:r>
      <w:r>
        <w:rPr>
          <w:rFonts w:ascii="Times New Roman" w:hAnsi="Times New Roman" w:cs="Times New Roman"/>
          <w:sz w:val="18"/>
          <w:szCs w:val="18"/>
          <w:lang w:val="es-MX"/>
        </w:rPr>
        <w:t>công trình dân sinh với số tiền 20,517 tỷ đồng, hỗ trợ 738 thẻ BHYT tế trị giá 536 triệu  đồng, thăm hỏi tặng quà, hỗ trợ khác 96.128 lượt với số tiền trên 42,472 tỷ đồng.</w:t>
      </w:r>
    </w:p>
  </w:footnote>
  <w:footnote w:id="24">
    <w:p w:rsidR="00291AF2" w:rsidRDefault="004E05BB">
      <w:pPr>
        <w:pStyle w:val="FootnoteText"/>
        <w:jc w:val="both"/>
        <w:rPr>
          <w:rFonts w:ascii="Times New Roman" w:hAnsi="Times New Roman" w:cs="Times New Roman"/>
          <w:lang w:val="es-MX"/>
        </w:rPr>
      </w:pPr>
      <w:r>
        <w:rPr>
          <w:rStyle w:val="FootnoteReference"/>
          <w:rFonts w:ascii="Times New Roman" w:hAnsi="Times New Roman" w:cs="Times New Roman"/>
        </w:rPr>
        <w:footnoteRef/>
      </w:r>
      <w:r>
        <w:rPr>
          <w:rFonts w:ascii="Times New Roman" w:hAnsi="Times New Roman" w:cs="Times New Roman"/>
          <w:lang w:val="es-MX"/>
        </w:rPr>
        <w:t xml:space="preserve"> </w:t>
      </w:r>
      <w:r>
        <w:rPr>
          <w:rFonts w:ascii="Times New Roman" w:hAnsi="Times New Roman" w:cs="Times New Roman"/>
          <w:lang w:val="vi-VN"/>
        </w:rPr>
        <w:t>Một số chính sách mới của tỉnh về phát triển kinh tế tập thể, khởi nghiệp; kiến thức nâng cao năng lực quản trị mô hình kinh doanh, Thương mại điện tử và mô hình bán hàng đa kênh; Hướng dẫn kỹ năng, phương pháp xây dựng kế hoạch kinh doanh; ứng dụng trí tuệ nhân tạo trong xây dựng kịch bản, nội dung truyền thông, đặc biệt, xây dựng các video quảng bá thương hiệu sản phẩm và thực hành các thao tác bán hàng trực tuyến (Livestream), chuyên đề “Phụ nữ Việt tự tin làm kinh tế”</w:t>
      </w:r>
    </w:p>
  </w:footnote>
  <w:footnote w:id="25">
    <w:p w:rsidR="00291AF2" w:rsidRDefault="004E05BB">
      <w:pPr>
        <w:pStyle w:val="FootnoteText"/>
        <w:rPr>
          <w:lang w:val="vi-VN"/>
        </w:rPr>
      </w:pPr>
      <w:r>
        <w:rPr>
          <w:rStyle w:val="FootnoteReference"/>
        </w:rPr>
        <w:footnoteRef/>
      </w:r>
      <w:r>
        <w:rPr>
          <w:lang w:val="vi-VN"/>
        </w:rPr>
        <w:t xml:space="preserve"> </w:t>
      </w:r>
      <w:r>
        <w:rPr>
          <w:rFonts w:ascii="Times New Roman" w:hAnsi="Times New Roman" w:cs="Times New Roman"/>
          <w:lang w:val="vi-VN"/>
        </w:rPr>
        <w:t>01 giải nhất, 01 giải nhì, 02 giải ba 04 giải khuyến khích</w:t>
      </w:r>
    </w:p>
  </w:footnote>
  <w:footnote w:id="26">
    <w:p w:rsidR="00291AF2" w:rsidRDefault="004E05BB">
      <w:pPr>
        <w:widowControl w:val="0"/>
        <w:pBdr>
          <w:top w:val="dotted" w:sz="4" w:space="0" w:color="FFFFFF"/>
          <w:left w:val="dotted" w:sz="4" w:space="0" w:color="FFFFFF"/>
          <w:bottom w:val="dotted" w:sz="4" w:space="16" w:color="FFFFFF"/>
          <w:right w:val="dotted" w:sz="4" w:space="29" w:color="FFFFFF"/>
        </w:pBdr>
        <w:shd w:val="clear" w:color="auto" w:fill="FFFFFF"/>
        <w:tabs>
          <w:tab w:val="left" w:pos="709"/>
          <w:tab w:val="left" w:pos="3765"/>
          <w:tab w:val="left" w:pos="6405"/>
        </w:tabs>
        <w:spacing w:after="0" w:line="240" w:lineRule="auto"/>
        <w:jc w:val="both"/>
        <w:rPr>
          <w:bCs/>
          <w:sz w:val="18"/>
          <w:szCs w:val="18"/>
          <w:lang w:val="nb-NO"/>
        </w:rPr>
      </w:pPr>
      <w:r>
        <w:rPr>
          <w:rStyle w:val="FootnoteReference"/>
          <w:sz w:val="18"/>
          <w:szCs w:val="18"/>
        </w:rPr>
        <w:footnoteRef/>
      </w:r>
      <w:r>
        <w:rPr>
          <w:sz w:val="18"/>
          <w:szCs w:val="18"/>
          <w:lang w:val="nb-NO"/>
        </w:rPr>
        <w:t xml:space="preserve"> </w:t>
      </w:r>
      <w:r>
        <w:rPr>
          <w:bCs/>
          <w:sz w:val="18"/>
          <w:szCs w:val="18"/>
          <w:lang w:val="es-ES_tradnl"/>
        </w:rPr>
        <w:t xml:space="preserve">2/3 mô hình đã phê duyệt kế hoạch thực hiện: </w:t>
      </w:r>
      <w:r>
        <w:rPr>
          <w:rFonts w:cs="Times New Roman"/>
          <w:sz w:val="18"/>
          <w:szCs w:val="18"/>
          <w:lang w:val="nl-NL"/>
        </w:rPr>
        <w:t xml:space="preserve">Mô hình xây dựng chuỗi liên kết các sản phẩm OCOP từ nhung hươu gắn với phát triển cộng đồng trong quản lý tài nguyên, bảo tồn đa dạng sinh học thuộc Chương trình OCOP; </w:t>
      </w:r>
      <w:r>
        <w:rPr>
          <w:rFonts w:cs="Times New Roman"/>
          <w:sz w:val="18"/>
          <w:szCs w:val="18"/>
          <w:lang w:val="vi-VN"/>
        </w:rPr>
        <w:t xml:space="preserve">Mô hình </w:t>
      </w:r>
      <w:r>
        <w:rPr>
          <w:rFonts w:cs="Times New Roman"/>
          <w:sz w:val="18"/>
          <w:szCs w:val="18"/>
          <w:lang w:val="pt-BR"/>
        </w:rPr>
        <w:t xml:space="preserve">du lịch cộng đồng gắn với bảo tồn văn hóa và cây trồng bản địa tại thôn Làng chè, xã Sơn Kim thuộc </w:t>
      </w:r>
      <w:r>
        <w:rPr>
          <w:rFonts w:cs="Times New Roman"/>
          <w:sz w:val="18"/>
          <w:szCs w:val="18"/>
          <w:lang w:val="vi-VN"/>
        </w:rPr>
        <w:t>Chương trình phát triển du lịch nông thôn</w:t>
      </w:r>
      <w:r>
        <w:rPr>
          <w:rFonts w:cs="Times New Roman"/>
          <w:sz w:val="18"/>
          <w:szCs w:val="18"/>
          <w:lang w:val="es-ES_tradnl"/>
        </w:rPr>
        <w:t>; 01 mô hình chưa phê duyệt (</w:t>
      </w:r>
      <w:r>
        <w:rPr>
          <w:rFonts w:cs="Times New Roman"/>
          <w:i/>
          <w:sz w:val="18"/>
          <w:szCs w:val="18"/>
          <w:lang w:val="es-ES_tradnl"/>
        </w:rPr>
        <w:t xml:space="preserve">mô hình xã thương mại điện tử Kỳ Phú thuộc </w:t>
      </w:r>
      <w:r>
        <w:rPr>
          <w:rFonts w:cs="Times New Roman"/>
          <w:i/>
          <w:sz w:val="18"/>
          <w:szCs w:val="18"/>
          <w:lang w:val="hsb-DE"/>
        </w:rPr>
        <w:t xml:space="preserve">Chương trình </w:t>
      </w:r>
      <w:r>
        <w:rPr>
          <w:rFonts w:cs="Times New Roman"/>
          <w:i/>
          <w:sz w:val="18"/>
          <w:szCs w:val="18"/>
          <w:lang w:val="vi-VN"/>
        </w:rPr>
        <w:t>chuyển đổi số trong xây dựng nông thôn mới, hướng tới nông thôn mới thông minh</w:t>
      </w:r>
      <w:r>
        <w:rPr>
          <w:rFonts w:cs="Times New Roman"/>
          <w:sz w:val="18"/>
          <w:szCs w:val="18"/>
          <w:lang w:val="nb-NO"/>
        </w:rPr>
        <w:t>)</w:t>
      </w:r>
    </w:p>
  </w:footnote>
  <w:footnote w:id="27">
    <w:p w:rsidR="00291AF2" w:rsidRDefault="004E05BB">
      <w:pPr>
        <w:pStyle w:val="FootnoteText"/>
        <w:jc w:val="both"/>
        <w:rPr>
          <w:rFonts w:ascii="Times New Roman" w:hAnsi="Times New Roman" w:cs="Times New Roman"/>
          <w:sz w:val="18"/>
          <w:szCs w:val="18"/>
          <w:lang w:val="nb-NO"/>
        </w:rPr>
      </w:pPr>
      <w:r>
        <w:rPr>
          <w:rStyle w:val="FootnoteReference"/>
          <w:rFonts w:ascii="Times New Roman" w:hAnsi="Times New Roman" w:cs="Times New Roman"/>
          <w:sz w:val="18"/>
          <w:szCs w:val="18"/>
        </w:rPr>
        <w:footnoteRef/>
      </w:r>
      <w:r>
        <w:rPr>
          <w:rFonts w:ascii="Times New Roman" w:hAnsi="Times New Roman" w:cs="Times New Roman"/>
          <w:sz w:val="18"/>
          <w:szCs w:val="18"/>
          <w:lang w:val="nb-NO"/>
        </w:rPr>
        <w:t xml:space="preserve"> </w:t>
      </w:r>
      <w:r>
        <w:rPr>
          <w:rFonts w:ascii="Times New Roman" w:hAnsi="Times New Roman" w:cs="Times New Roman"/>
          <w:color w:val="000000"/>
          <w:sz w:val="18"/>
          <w:szCs w:val="18"/>
          <w:lang w:val="nb-NO"/>
        </w:rPr>
        <w:t>Chương trình mỗi xã một sản phẩm giai đoạn 2021-2025; Chương trình chuyển đổi số trong xây dựng nông thôn</w:t>
      </w:r>
      <w:r>
        <w:rPr>
          <w:rFonts w:ascii="Times New Roman" w:hAnsi="Times New Roman" w:cs="Times New Roman"/>
          <w:color w:val="000000"/>
          <w:sz w:val="18"/>
          <w:szCs w:val="18"/>
          <w:lang w:val="nb-NO"/>
        </w:rPr>
        <w:br/>
        <w:t>mới, hướng tới nông thôn mới thông minh giai đoạn 2021-2025; Chương trình tăng cường bảo vệ môi trường, an</w:t>
      </w:r>
      <w:r>
        <w:rPr>
          <w:rFonts w:ascii="Times New Roman" w:hAnsi="Times New Roman" w:cs="Times New Roman"/>
          <w:color w:val="000000"/>
          <w:sz w:val="18"/>
          <w:szCs w:val="18"/>
          <w:lang w:val="nb-NO"/>
        </w:rPr>
        <w:br/>
        <w:t>toàn thực phẩm và cấp nước sạch nông thôn trong xây dựng nông thôn mới giai đoạn 2021-2025</w:t>
      </w:r>
    </w:p>
  </w:footnote>
  <w:footnote w:id="28">
    <w:p w:rsidR="00291AF2" w:rsidRDefault="004E05BB">
      <w:pPr>
        <w:pStyle w:val="FootnoteText"/>
        <w:jc w:val="both"/>
        <w:rPr>
          <w:rFonts w:ascii="Times New Roman" w:hAnsi="Times New Roman" w:cs="Times New Roman"/>
          <w:sz w:val="18"/>
          <w:szCs w:val="18"/>
          <w:lang w:val="nb-NO"/>
        </w:rPr>
      </w:pPr>
      <w:r>
        <w:rPr>
          <w:rStyle w:val="FootnoteReference"/>
          <w:rFonts w:ascii="Times New Roman" w:hAnsi="Times New Roman" w:cs="Times New Roman"/>
          <w:sz w:val="18"/>
          <w:szCs w:val="18"/>
        </w:rPr>
        <w:footnoteRef/>
      </w:r>
      <w:r>
        <w:rPr>
          <w:rFonts w:ascii="Times New Roman" w:hAnsi="Times New Roman" w:cs="Times New Roman"/>
          <w:sz w:val="18"/>
          <w:szCs w:val="18"/>
          <w:lang w:val="nb-NO"/>
        </w:rPr>
        <w:t xml:space="preserve"> </w:t>
      </w:r>
      <w:r>
        <w:rPr>
          <w:rFonts w:ascii="Times New Roman" w:hAnsi="Times New Roman" w:cs="Times New Roman"/>
          <w:color w:val="000000"/>
          <w:sz w:val="18"/>
          <w:szCs w:val="18"/>
          <w:lang w:val="nb-NO"/>
        </w:rPr>
        <w:t>Chương trình phát triển du lịch nông thôn trong xây dựng nông thôn mới giai đoạn 2021-2025.</w:t>
      </w:r>
    </w:p>
  </w:footnote>
  <w:footnote w:id="29">
    <w:p w:rsidR="00291AF2" w:rsidRDefault="004E05BB">
      <w:pPr>
        <w:pStyle w:val="FootnoteText"/>
        <w:jc w:val="both"/>
        <w:rPr>
          <w:rFonts w:ascii="Times New Roman" w:hAnsi="Times New Roman" w:cs="Times New Roman"/>
          <w:sz w:val="18"/>
          <w:szCs w:val="18"/>
          <w:lang w:val="nb-NO"/>
        </w:rPr>
      </w:pPr>
      <w:r>
        <w:rPr>
          <w:rStyle w:val="FootnoteReference"/>
          <w:rFonts w:ascii="Times New Roman" w:hAnsi="Times New Roman" w:cs="Times New Roman"/>
          <w:sz w:val="18"/>
          <w:szCs w:val="18"/>
        </w:rPr>
        <w:footnoteRef/>
      </w:r>
      <w:r>
        <w:rPr>
          <w:rFonts w:ascii="Times New Roman" w:hAnsi="Times New Roman" w:cs="Times New Roman"/>
          <w:sz w:val="18"/>
          <w:szCs w:val="18"/>
          <w:lang w:val="nb-NO"/>
        </w:rPr>
        <w:t xml:space="preserve"> </w:t>
      </w:r>
      <w:r>
        <w:rPr>
          <w:rFonts w:ascii="Times New Roman" w:hAnsi="Times New Roman" w:cs="Times New Roman"/>
          <w:color w:val="000000"/>
          <w:sz w:val="18"/>
          <w:szCs w:val="18"/>
          <w:lang w:val="nb-NO"/>
        </w:rPr>
        <w:t>Chương trình khoa học và công nghệ phục vụ xây dựng nông thôn mới giai đoạn 2021-2025.</w:t>
      </w:r>
    </w:p>
  </w:footnote>
  <w:footnote w:id="30">
    <w:p w:rsidR="00291AF2" w:rsidRDefault="004E05BB">
      <w:pPr>
        <w:pStyle w:val="FootnoteText"/>
        <w:jc w:val="both"/>
        <w:rPr>
          <w:sz w:val="18"/>
          <w:szCs w:val="18"/>
          <w:lang w:val="nb-NO"/>
        </w:rPr>
      </w:pPr>
      <w:r>
        <w:rPr>
          <w:rStyle w:val="FootnoteReference"/>
          <w:rFonts w:ascii="Times New Roman" w:hAnsi="Times New Roman" w:cs="Times New Roman"/>
          <w:sz w:val="18"/>
          <w:szCs w:val="18"/>
        </w:rPr>
        <w:footnoteRef/>
      </w:r>
      <w:r>
        <w:rPr>
          <w:rFonts w:ascii="Times New Roman" w:hAnsi="Times New Roman" w:cs="Times New Roman"/>
          <w:sz w:val="18"/>
          <w:szCs w:val="18"/>
          <w:lang w:val="nb-NO"/>
        </w:rPr>
        <w:t xml:space="preserve"> </w:t>
      </w:r>
      <w:bookmarkStart w:id="7" w:name="dieu_1_name"/>
      <w:r>
        <w:rPr>
          <w:rFonts w:ascii="Times New Roman" w:hAnsi="Times New Roman" w:cs="Times New Roman"/>
          <w:color w:val="000000"/>
          <w:sz w:val="18"/>
          <w:szCs w:val="18"/>
          <w:shd w:val="clear" w:color="auto" w:fill="FFFFFF"/>
          <w:lang w:val="nb-NO"/>
        </w:rPr>
        <w:t>Chương trình nâng cao chất lượng, hiệu quả thực hiện tiêu chí an ninh, trật tự trong xây dựng nông thôn mới giai đoạn 2021 - 2025</w:t>
      </w:r>
      <w:bookmarkEnd w:id="7"/>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964374"/>
      <w:docPartObj>
        <w:docPartGallery w:val="Page Numbers (Top of Page)"/>
        <w:docPartUnique/>
      </w:docPartObj>
    </w:sdtPr>
    <w:sdtEndPr>
      <w:rPr>
        <w:noProof/>
      </w:rPr>
    </w:sdtEndPr>
    <w:sdtContent>
      <w:p w:rsidR="00291AF2" w:rsidRDefault="004E05BB">
        <w:pPr>
          <w:pStyle w:val="Header"/>
          <w:jc w:val="center"/>
        </w:pPr>
        <w:r>
          <w:fldChar w:fldCharType="begin"/>
        </w:r>
        <w:r>
          <w:instrText xml:space="preserve"> PAGE   \* MERGEFORMAT </w:instrText>
        </w:r>
        <w:r>
          <w:fldChar w:fldCharType="separate"/>
        </w:r>
        <w:r w:rsidR="00011672">
          <w:rPr>
            <w:noProof/>
          </w:rPr>
          <w:t>20</w:t>
        </w:r>
        <w:r>
          <w:rPr>
            <w:noProof/>
          </w:rPr>
          <w:fldChar w:fldCharType="end"/>
        </w:r>
      </w:p>
    </w:sdtContent>
  </w:sdt>
  <w:p w:rsidR="00291AF2" w:rsidRDefault="00291A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F61"/>
    <w:multiLevelType w:val="multilevel"/>
    <w:tmpl w:val="DFA8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AF2"/>
    <w:rsid w:val="00011672"/>
    <w:rsid w:val="00291AF2"/>
    <w:rsid w:val="003F5682"/>
    <w:rsid w:val="004E05BB"/>
    <w:rsid w:val="00B25A2A"/>
    <w:rsid w:val="00CF5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HAnsi" w:hAnsi="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qFormat/>
    <w:rPr>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qFormat/>
    <w:pPr>
      <w:spacing w:after="0" w:line="240" w:lineRule="auto"/>
    </w:pPr>
    <w:rPr>
      <w:rFonts w:asciiTheme="minorHAnsi" w:eastAsiaTheme="minorEastAsia" w:hAnsiTheme="minorHAnsi"/>
      <w:sz w:val="20"/>
      <w:szCs w:val="20"/>
      <w:lang w:eastAsia="zh-CN"/>
    </w:rPr>
  </w:style>
  <w:style w:type="character" w:customStyle="1" w:styleId="FootnoteTextChar1">
    <w:name w:val="Footnote Text Char1"/>
    <w:basedOn w:val="DefaultParagraphFont"/>
    <w:uiPriority w:val="99"/>
    <w:semiHidden/>
    <w:rPr>
      <w:rFonts w:ascii="Times New Roman" w:eastAsiaTheme="minorHAnsi" w:hAnsi="Times New Roman"/>
      <w:sz w:val="20"/>
      <w:szCs w:val="20"/>
      <w:lang w:eastAsia="en-US"/>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Re,1"/>
    <w:basedOn w:val="DefaultParagraphFont"/>
    <w:link w:val="CharChar1CharCharCharChar1CharCharCharCharCharCharCharChar"/>
    <w:uiPriority w:val="99"/>
    <w:unhideWhenUsed/>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pPr>
      <w:keepNext/>
      <w:spacing w:after="160" w:line="240" w:lineRule="exact"/>
    </w:pPr>
    <w:rPr>
      <w:rFonts w:asciiTheme="minorHAnsi" w:eastAsiaTheme="minorEastAsia" w:hAnsiTheme="minorHAnsi"/>
      <w:sz w:val="22"/>
      <w:vertAlign w:val="superscript"/>
      <w:lang w:eastAsia="zh-CN"/>
    </w:rPr>
  </w:style>
  <w:style w:type="character" w:customStyle="1" w:styleId="HeaderChar">
    <w:name w:val="Header Char"/>
    <w:basedOn w:val="DefaultParagraphFont"/>
    <w:link w:val="Header"/>
    <w:uiPriority w:val="99"/>
    <w:rPr>
      <w:rFonts w:ascii="Times New Roman" w:eastAsiaTheme="minorHAnsi" w:hAnsi="Times New Roman"/>
      <w:sz w:val="28"/>
      <w:lang w:eastAsia="en-U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1">
    <w:name w:val="Header Char1"/>
    <w:basedOn w:val="DefaultParagraphFont"/>
    <w:uiPriority w:val="99"/>
    <w:semiHidden/>
    <w:rPr>
      <w:rFonts w:ascii="Times New Roman" w:eastAsiaTheme="minorHAnsi" w:hAnsi="Times New Roman"/>
      <w:sz w:val="28"/>
      <w:lang w:eastAsia="en-US"/>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character" w:styleId="Emphasis">
    <w:name w:val="Emphasis"/>
    <w:uiPriority w:val="20"/>
    <w:qFormat/>
    <w:rPr>
      <w:i/>
      <w:iCs/>
    </w:rPr>
  </w:style>
  <w:style w:type="character" w:customStyle="1" w:styleId="m11635446225680410s2">
    <w:name w:val="m_11635446225680410s2"/>
    <w:rPr>
      <w:lang w:val="en-US"/>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Char Char8,Ref Ch"/>
    <w:basedOn w:val="Normal"/>
    <w:uiPriority w:val="99"/>
    <w:qFormat/>
    <w:pPr>
      <w:spacing w:after="160" w:line="240" w:lineRule="exact"/>
    </w:pPr>
    <w:rPr>
      <w:rFonts w:eastAsiaTheme="minorEastAsia"/>
      <w:sz w:val="22"/>
      <w:vertAlign w:val="superscript"/>
      <w:lang w:eastAsia="zh-C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qFormat/>
    <w:pPr>
      <w:spacing w:after="160" w:line="240" w:lineRule="exact"/>
    </w:pPr>
    <w:rPr>
      <w:rFonts w:eastAsia="Arial" w:cs="Times New Roman"/>
      <w:sz w:val="20"/>
      <w:szCs w:val="20"/>
      <w:vertAlign w:val="superscript"/>
    </w:r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paragraph" w:customStyle="1" w:styleId="Footnotedich">
    <w:name w:val="Footnote dich"/>
    <w:aliases w:val="10"/>
    <w:basedOn w:val="Normal"/>
    <w:uiPriority w:val="99"/>
    <w:pPr>
      <w:spacing w:after="160" w:line="240" w:lineRule="exact"/>
    </w:pPr>
    <w:rPr>
      <w:vertAlign w:val="superscript"/>
    </w:rPr>
  </w:style>
  <w:style w:type="character" w:styleId="Hyperlink">
    <w:name w:val="Hyperlink"/>
    <w:basedOn w:val="DefaultParagraphFont"/>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HAnsi" w:hAnsi="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qFormat/>
    <w:rPr>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qFormat/>
    <w:pPr>
      <w:spacing w:after="0" w:line="240" w:lineRule="auto"/>
    </w:pPr>
    <w:rPr>
      <w:rFonts w:asciiTheme="minorHAnsi" w:eastAsiaTheme="minorEastAsia" w:hAnsiTheme="minorHAnsi"/>
      <w:sz w:val="20"/>
      <w:szCs w:val="20"/>
      <w:lang w:eastAsia="zh-CN"/>
    </w:rPr>
  </w:style>
  <w:style w:type="character" w:customStyle="1" w:styleId="FootnoteTextChar1">
    <w:name w:val="Footnote Text Char1"/>
    <w:basedOn w:val="DefaultParagraphFont"/>
    <w:uiPriority w:val="99"/>
    <w:semiHidden/>
    <w:rPr>
      <w:rFonts w:ascii="Times New Roman" w:eastAsiaTheme="minorHAnsi" w:hAnsi="Times New Roman"/>
      <w:sz w:val="20"/>
      <w:szCs w:val="20"/>
      <w:lang w:eastAsia="en-US"/>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Re,1"/>
    <w:basedOn w:val="DefaultParagraphFont"/>
    <w:link w:val="CharChar1CharCharCharChar1CharCharCharCharCharCharCharChar"/>
    <w:uiPriority w:val="99"/>
    <w:unhideWhenUsed/>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pPr>
      <w:keepNext/>
      <w:spacing w:after="160" w:line="240" w:lineRule="exact"/>
    </w:pPr>
    <w:rPr>
      <w:rFonts w:asciiTheme="minorHAnsi" w:eastAsiaTheme="minorEastAsia" w:hAnsiTheme="minorHAnsi"/>
      <w:sz w:val="22"/>
      <w:vertAlign w:val="superscript"/>
      <w:lang w:eastAsia="zh-CN"/>
    </w:rPr>
  </w:style>
  <w:style w:type="character" w:customStyle="1" w:styleId="HeaderChar">
    <w:name w:val="Header Char"/>
    <w:basedOn w:val="DefaultParagraphFont"/>
    <w:link w:val="Header"/>
    <w:uiPriority w:val="99"/>
    <w:rPr>
      <w:rFonts w:ascii="Times New Roman" w:eastAsiaTheme="minorHAnsi" w:hAnsi="Times New Roman"/>
      <w:sz w:val="28"/>
      <w:lang w:eastAsia="en-U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1">
    <w:name w:val="Header Char1"/>
    <w:basedOn w:val="DefaultParagraphFont"/>
    <w:uiPriority w:val="99"/>
    <w:semiHidden/>
    <w:rPr>
      <w:rFonts w:ascii="Times New Roman" w:eastAsiaTheme="minorHAnsi" w:hAnsi="Times New Roman"/>
      <w:sz w:val="28"/>
      <w:lang w:eastAsia="en-US"/>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character" w:styleId="Emphasis">
    <w:name w:val="Emphasis"/>
    <w:uiPriority w:val="20"/>
    <w:qFormat/>
    <w:rPr>
      <w:i/>
      <w:iCs/>
    </w:rPr>
  </w:style>
  <w:style w:type="character" w:customStyle="1" w:styleId="m11635446225680410s2">
    <w:name w:val="m_11635446225680410s2"/>
    <w:rPr>
      <w:lang w:val="en-US"/>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Char Char8,Ref Ch"/>
    <w:basedOn w:val="Normal"/>
    <w:uiPriority w:val="99"/>
    <w:qFormat/>
    <w:pPr>
      <w:spacing w:after="160" w:line="240" w:lineRule="exact"/>
    </w:pPr>
    <w:rPr>
      <w:rFonts w:eastAsiaTheme="minorEastAsia"/>
      <w:sz w:val="22"/>
      <w:vertAlign w:val="superscript"/>
      <w:lang w:eastAsia="zh-C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qFormat/>
    <w:pPr>
      <w:spacing w:after="160" w:line="240" w:lineRule="exact"/>
    </w:pPr>
    <w:rPr>
      <w:rFonts w:eastAsia="Arial" w:cs="Times New Roman"/>
      <w:sz w:val="20"/>
      <w:szCs w:val="20"/>
      <w:vertAlign w:val="superscript"/>
    </w:r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paragraph" w:customStyle="1" w:styleId="Footnotedich">
    <w:name w:val="Footnote dich"/>
    <w:aliases w:val="10"/>
    <w:basedOn w:val="Normal"/>
    <w:uiPriority w:val="99"/>
    <w:pPr>
      <w:spacing w:after="160" w:line="240" w:lineRule="exact"/>
    </w:pPr>
    <w:rPr>
      <w:vertAlign w:val="superscript"/>
    </w:rPr>
  </w:style>
  <w:style w:type="character" w:styleId="Hyperlink">
    <w:name w:val="Hyperlink"/>
    <w:basedOn w:val="DefaultParagraphFont"/>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0113">
      <w:bodyDiv w:val="1"/>
      <w:marLeft w:val="0"/>
      <w:marRight w:val="0"/>
      <w:marTop w:val="0"/>
      <w:marBottom w:val="0"/>
      <w:divBdr>
        <w:top w:val="none" w:sz="0" w:space="0" w:color="auto"/>
        <w:left w:val="none" w:sz="0" w:space="0" w:color="auto"/>
        <w:bottom w:val="none" w:sz="0" w:space="0" w:color="auto"/>
        <w:right w:val="none" w:sz="0" w:space="0" w:color="auto"/>
      </w:divBdr>
    </w:div>
    <w:div w:id="690378501">
      <w:bodyDiv w:val="1"/>
      <w:marLeft w:val="0"/>
      <w:marRight w:val="0"/>
      <w:marTop w:val="0"/>
      <w:marBottom w:val="0"/>
      <w:divBdr>
        <w:top w:val="none" w:sz="0" w:space="0" w:color="auto"/>
        <w:left w:val="none" w:sz="0" w:space="0" w:color="auto"/>
        <w:bottom w:val="none" w:sz="0" w:space="0" w:color="auto"/>
        <w:right w:val="none" w:sz="0" w:space="0" w:color="auto"/>
      </w:divBdr>
    </w:div>
    <w:div w:id="747658041">
      <w:bodyDiv w:val="1"/>
      <w:marLeft w:val="0"/>
      <w:marRight w:val="0"/>
      <w:marTop w:val="0"/>
      <w:marBottom w:val="0"/>
      <w:divBdr>
        <w:top w:val="none" w:sz="0" w:space="0" w:color="auto"/>
        <w:left w:val="none" w:sz="0" w:space="0" w:color="auto"/>
        <w:bottom w:val="none" w:sz="0" w:space="0" w:color="auto"/>
        <w:right w:val="none" w:sz="0" w:space="0" w:color="auto"/>
      </w:divBdr>
    </w:div>
    <w:div w:id="981537959">
      <w:bodyDiv w:val="1"/>
      <w:marLeft w:val="0"/>
      <w:marRight w:val="0"/>
      <w:marTop w:val="0"/>
      <w:marBottom w:val="0"/>
      <w:divBdr>
        <w:top w:val="none" w:sz="0" w:space="0" w:color="auto"/>
        <w:left w:val="none" w:sz="0" w:space="0" w:color="auto"/>
        <w:bottom w:val="none" w:sz="0" w:space="0" w:color="auto"/>
        <w:right w:val="none" w:sz="0" w:space="0" w:color="auto"/>
      </w:divBdr>
    </w:div>
    <w:div w:id="1436174201">
      <w:bodyDiv w:val="1"/>
      <w:marLeft w:val="0"/>
      <w:marRight w:val="0"/>
      <w:marTop w:val="0"/>
      <w:marBottom w:val="0"/>
      <w:divBdr>
        <w:top w:val="none" w:sz="0" w:space="0" w:color="auto"/>
        <w:left w:val="none" w:sz="0" w:space="0" w:color="auto"/>
        <w:bottom w:val="none" w:sz="0" w:space="0" w:color="auto"/>
        <w:right w:val="none" w:sz="0" w:space="0" w:color="auto"/>
      </w:divBdr>
      <w:divsChild>
        <w:div w:id="364062442">
          <w:marLeft w:val="0"/>
          <w:marRight w:val="0"/>
          <w:marTop w:val="0"/>
          <w:marBottom w:val="0"/>
          <w:divBdr>
            <w:top w:val="none" w:sz="0" w:space="0" w:color="auto"/>
            <w:left w:val="none" w:sz="0" w:space="0" w:color="auto"/>
            <w:bottom w:val="none" w:sz="0" w:space="0" w:color="auto"/>
            <w:right w:val="none" w:sz="0" w:space="0" w:color="auto"/>
          </w:divBdr>
          <w:divsChild>
            <w:div w:id="1512908887">
              <w:marLeft w:val="0"/>
              <w:marRight w:val="0"/>
              <w:marTop w:val="0"/>
              <w:marBottom w:val="0"/>
              <w:divBdr>
                <w:top w:val="none" w:sz="0" w:space="0" w:color="auto"/>
                <w:left w:val="none" w:sz="0" w:space="0" w:color="auto"/>
                <w:bottom w:val="none" w:sz="0" w:space="0" w:color="auto"/>
                <w:right w:val="none" w:sz="0" w:space="0" w:color="auto"/>
              </w:divBdr>
              <w:divsChild>
                <w:div w:id="427966414">
                  <w:marLeft w:val="0"/>
                  <w:marRight w:val="0"/>
                  <w:marTop w:val="0"/>
                  <w:marBottom w:val="0"/>
                  <w:divBdr>
                    <w:top w:val="none" w:sz="0" w:space="0" w:color="auto"/>
                    <w:left w:val="none" w:sz="0" w:space="0" w:color="auto"/>
                    <w:bottom w:val="none" w:sz="0" w:space="0" w:color="auto"/>
                    <w:right w:val="none" w:sz="0" w:space="0" w:color="auto"/>
                  </w:divBdr>
                  <w:divsChild>
                    <w:div w:id="1823934445">
                      <w:marLeft w:val="0"/>
                      <w:marRight w:val="-105"/>
                      <w:marTop w:val="0"/>
                      <w:marBottom w:val="0"/>
                      <w:divBdr>
                        <w:top w:val="none" w:sz="0" w:space="0" w:color="auto"/>
                        <w:left w:val="none" w:sz="0" w:space="0" w:color="auto"/>
                        <w:bottom w:val="none" w:sz="0" w:space="0" w:color="auto"/>
                        <w:right w:val="none" w:sz="0" w:space="0" w:color="auto"/>
                      </w:divBdr>
                      <w:divsChild>
                        <w:div w:id="1792895587">
                          <w:marLeft w:val="0"/>
                          <w:marRight w:val="0"/>
                          <w:marTop w:val="0"/>
                          <w:marBottom w:val="0"/>
                          <w:divBdr>
                            <w:top w:val="none" w:sz="0" w:space="0" w:color="auto"/>
                            <w:left w:val="none" w:sz="0" w:space="0" w:color="auto"/>
                            <w:bottom w:val="none" w:sz="0" w:space="0" w:color="auto"/>
                            <w:right w:val="none" w:sz="0" w:space="0" w:color="auto"/>
                          </w:divBdr>
                          <w:divsChild>
                            <w:div w:id="1980069025">
                              <w:marLeft w:val="0"/>
                              <w:marRight w:val="0"/>
                              <w:marTop w:val="0"/>
                              <w:marBottom w:val="0"/>
                              <w:divBdr>
                                <w:top w:val="none" w:sz="0" w:space="0" w:color="auto"/>
                                <w:left w:val="none" w:sz="0" w:space="0" w:color="auto"/>
                                <w:bottom w:val="none" w:sz="0" w:space="0" w:color="auto"/>
                                <w:right w:val="none" w:sz="0" w:space="0" w:color="auto"/>
                              </w:divBdr>
                              <w:divsChild>
                                <w:div w:id="1642732399">
                                  <w:marLeft w:val="0"/>
                                  <w:marRight w:val="0"/>
                                  <w:marTop w:val="0"/>
                                  <w:marBottom w:val="0"/>
                                  <w:divBdr>
                                    <w:top w:val="none" w:sz="0" w:space="0" w:color="auto"/>
                                    <w:left w:val="none" w:sz="0" w:space="0" w:color="auto"/>
                                    <w:bottom w:val="none" w:sz="0" w:space="0" w:color="auto"/>
                                    <w:right w:val="none" w:sz="0" w:space="0" w:color="auto"/>
                                  </w:divBdr>
                                  <w:divsChild>
                                    <w:div w:id="822084781">
                                      <w:marLeft w:val="750"/>
                                      <w:marRight w:val="0"/>
                                      <w:marTop w:val="0"/>
                                      <w:marBottom w:val="0"/>
                                      <w:divBdr>
                                        <w:top w:val="none" w:sz="0" w:space="0" w:color="auto"/>
                                        <w:left w:val="none" w:sz="0" w:space="0" w:color="auto"/>
                                        <w:bottom w:val="none" w:sz="0" w:space="0" w:color="auto"/>
                                        <w:right w:val="none" w:sz="0" w:space="0" w:color="auto"/>
                                      </w:divBdr>
                                      <w:divsChild>
                                        <w:div w:id="1254700240">
                                          <w:marLeft w:val="0"/>
                                          <w:marRight w:val="0"/>
                                          <w:marTop w:val="0"/>
                                          <w:marBottom w:val="0"/>
                                          <w:divBdr>
                                            <w:top w:val="none" w:sz="0" w:space="0" w:color="auto"/>
                                            <w:left w:val="none" w:sz="0" w:space="0" w:color="auto"/>
                                            <w:bottom w:val="none" w:sz="0" w:space="0" w:color="auto"/>
                                            <w:right w:val="none" w:sz="0" w:space="0" w:color="auto"/>
                                          </w:divBdr>
                                          <w:divsChild>
                                            <w:div w:id="492917104">
                                              <w:marLeft w:val="0"/>
                                              <w:marRight w:val="0"/>
                                              <w:marTop w:val="0"/>
                                              <w:marBottom w:val="0"/>
                                              <w:divBdr>
                                                <w:top w:val="none" w:sz="0" w:space="0" w:color="auto"/>
                                                <w:left w:val="none" w:sz="0" w:space="0" w:color="auto"/>
                                                <w:bottom w:val="none" w:sz="0" w:space="0" w:color="auto"/>
                                                <w:right w:val="none" w:sz="0" w:space="0" w:color="auto"/>
                                              </w:divBdr>
                                              <w:divsChild>
                                                <w:div w:id="1833251431">
                                                  <w:marLeft w:val="0"/>
                                                  <w:marRight w:val="0"/>
                                                  <w:marTop w:val="0"/>
                                                  <w:marBottom w:val="0"/>
                                                  <w:divBdr>
                                                    <w:top w:val="none" w:sz="0" w:space="0" w:color="auto"/>
                                                    <w:left w:val="none" w:sz="0" w:space="0" w:color="auto"/>
                                                    <w:bottom w:val="none" w:sz="0" w:space="0" w:color="auto"/>
                                                    <w:right w:val="none" w:sz="0" w:space="0" w:color="auto"/>
                                                  </w:divBdr>
                                                  <w:divsChild>
                                                    <w:div w:id="2132550978">
                                                      <w:marLeft w:val="0"/>
                                                      <w:marRight w:val="0"/>
                                                      <w:marTop w:val="0"/>
                                                      <w:marBottom w:val="0"/>
                                                      <w:divBdr>
                                                        <w:top w:val="none" w:sz="0" w:space="0" w:color="auto"/>
                                                        <w:left w:val="none" w:sz="0" w:space="0" w:color="auto"/>
                                                        <w:bottom w:val="none" w:sz="0" w:space="0" w:color="auto"/>
                                                        <w:right w:val="none" w:sz="0" w:space="0" w:color="auto"/>
                                                      </w:divBdr>
                                                      <w:divsChild>
                                                        <w:div w:id="1324550541">
                                                          <w:marLeft w:val="0"/>
                                                          <w:marRight w:val="0"/>
                                                          <w:marTop w:val="0"/>
                                                          <w:marBottom w:val="0"/>
                                                          <w:divBdr>
                                                            <w:top w:val="none" w:sz="0" w:space="0" w:color="auto"/>
                                                            <w:left w:val="none" w:sz="0" w:space="0" w:color="auto"/>
                                                            <w:bottom w:val="none" w:sz="0" w:space="0" w:color="auto"/>
                                                            <w:right w:val="none" w:sz="0" w:space="0" w:color="auto"/>
                                                          </w:divBdr>
                                                          <w:divsChild>
                                                            <w:div w:id="1258906386">
                                                              <w:marLeft w:val="0"/>
                                                              <w:marRight w:val="0"/>
                                                              <w:marTop w:val="0"/>
                                                              <w:marBottom w:val="0"/>
                                                              <w:divBdr>
                                                                <w:top w:val="none" w:sz="0" w:space="0" w:color="auto"/>
                                                                <w:left w:val="none" w:sz="0" w:space="0" w:color="auto"/>
                                                                <w:bottom w:val="none" w:sz="0" w:space="0" w:color="auto"/>
                                                                <w:right w:val="none" w:sz="0" w:space="0" w:color="auto"/>
                                                              </w:divBdr>
                                                              <w:divsChild>
                                                                <w:div w:id="1721319598">
                                                                  <w:marLeft w:val="0"/>
                                                                  <w:marRight w:val="0"/>
                                                                  <w:marTop w:val="0"/>
                                                                  <w:marBottom w:val="0"/>
                                                                  <w:divBdr>
                                                                    <w:top w:val="none" w:sz="0" w:space="0" w:color="auto"/>
                                                                    <w:left w:val="none" w:sz="0" w:space="0" w:color="auto"/>
                                                                    <w:bottom w:val="none" w:sz="0" w:space="0" w:color="auto"/>
                                                                    <w:right w:val="none" w:sz="0" w:space="0" w:color="auto"/>
                                                                  </w:divBdr>
                                                                  <w:divsChild>
                                                                    <w:div w:id="376399385">
                                                                      <w:marLeft w:val="0"/>
                                                                      <w:marRight w:val="0"/>
                                                                      <w:marTop w:val="0"/>
                                                                      <w:marBottom w:val="0"/>
                                                                      <w:divBdr>
                                                                        <w:top w:val="none" w:sz="0" w:space="0" w:color="auto"/>
                                                                        <w:left w:val="none" w:sz="0" w:space="0" w:color="auto"/>
                                                                        <w:bottom w:val="none" w:sz="0" w:space="0" w:color="auto"/>
                                                                        <w:right w:val="none" w:sz="0" w:space="0" w:color="auto"/>
                                                                      </w:divBdr>
                                                                      <w:divsChild>
                                                                        <w:div w:id="1800756077">
                                                                          <w:marLeft w:val="0"/>
                                                                          <w:marRight w:val="0"/>
                                                                          <w:marTop w:val="0"/>
                                                                          <w:marBottom w:val="0"/>
                                                                          <w:divBdr>
                                                                            <w:top w:val="none" w:sz="0" w:space="0" w:color="auto"/>
                                                                            <w:left w:val="none" w:sz="0" w:space="0" w:color="auto"/>
                                                                            <w:bottom w:val="none" w:sz="0" w:space="0" w:color="auto"/>
                                                                            <w:right w:val="none" w:sz="0" w:space="0" w:color="auto"/>
                                                                          </w:divBdr>
                                                                          <w:divsChild>
                                                                            <w:div w:id="13306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25424">
                                                                  <w:marLeft w:val="0"/>
                                                                  <w:marRight w:val="0"/>
                                                                  <w:marTop w:val="60"/>
                                                                  <w:marBottom w:val="0"/>
                                                                  <w:divBdr>
                                                                    <w:top w:val="none" w:sz="0" w:space="0" w:color="auto"/>
                                                                    <w:left w:val="none" w:sz="0" w:space="0" w:color="auto"/>
                                                                    <w:bottom w:val="none" w:sz="0" w:space="0" w:color="auto"/>
                                                                    <w:right w:val="none" w:sz="0" w:space="0" w:color="auto"/>
                                                                  </w:divBdr>
                                                                </w:div>
                                                                <w:div w:id="78909773">
                                                                  <w:marLeft w:val="0"/>
                                                                  <w:marRight w:val="0"/>
                                                                  <w:marTop w:val="0"/>
                                                                  <w:marBottom w:val="0"/>
                                                                  <w:divBdr>
                                                                    <w:top w:val="none" w:sz="0" w:space="0" w:color="auto"/>
                                                                    <w:left w:val="none" w:sz="0" w:space="0" w:color="auto"/>
                                                                    <w:bottom w:val="none" w:sz="0" w:space="0" w:color="auto"/>
                                                                    <w:right w:val="none" w:sz="0" w:space="0" w:color="auto"/>
                                                                  </w:divBdr>
                                                                  <w:divsChild>
                                                                    <w:div w:id="1326862735">
                                                                      <w:marLeft w:val="0"/>
                                                                      <w:marRight w:val="0"/>
                                                                      <w:marTop w:val="0"/>
                                                                      <w:marBottom w:val="0"/>
                                                                      <w:divBdr>
                                                                        <w:top w:val="none" w:sz="0" w:space="0" w:color="auto"/>
                                                                        <w:left w:val="none" w:sz="0" w:space="0" w:color="auto"/>
                                                                        <w:bottom w:val="none" w:sz="0" w:space="0" w:color="auto"/>
                                                                        <w:right w:val="none" w:sz="0" w:space="0" w:color="auto"/>
                                                                      </w:divBdr>
                                                                      <w:divsChild>
                                                                        <w:div w:id="1443454494">
                                                                          <w:marLeft w:val="0"/>
                                                                          <w:marRight w:val="0"/>
                                                                          <w:marTop w:val="0"/>
                                                                          <w:marBottom w:val="0"/>
                                                                          <w:divBdr>
                                                                            <w:top w:val="none" w:sz="0" w:space="0" w:color="auto"/>
                                                                            <w:left w:val="none" w:sz="0" w:space="0" w:color="auto"/>
                                                                            <w:bottom w:val="none" w:sz="0" w:space="0" w:color="auto"/>
                                                                            <w:right w:val="none" w:sz="0" w:space="0" w:color="auto"/>
                                                                          </w:divBdr>
                                                                          <w:divsChild>
                                                                            <w:div w:id="121772156">
                                                                              <w:marLeft w:val="0"/>
                                                                              <w:marRight w:val="0"/>
                                                                              <w:marTop w:val="0"/>
                                                                              <w:marBottom w:val="0"/>
                                                                              <w:divBdr>
                                                                                <w:top w:val="none" w:sz="0" w:space="0" w:color="auto"/>
                                                                                <w:left w:val="none" w:sz="0" w:space="0" w:color="auto"/>
                                                                                <w:bottom w:val="none" w:sz="0" w:space="0" w:color="auto"/>
                                                                                <w:right w:val="none" w:sz="0" w:space="0" w:color="auto"/>
                                                                              </w:divBdr>
                                                                              <w:divsChild>
                                                                                <w:div w:id="1051267253">
                                                                                  <w:marLeft w:val="105"/>
                                                                                  <w:marRight w:val="105"/>
                                                                                  <w:marTop w:val="90"/>
                                                                                  <w:marBottom w:val="150"/>
                                                                                  <w:divBdr>
                                                                                    <w:top w:val="none" w:sz="0" w:space="0" w:color="auto"/>
                                                                                    <w:left w:val="none" w:sz="0" w:space="0" w:color="auto"/>
                                                                                    <w:bottom w:val="none" w:sz="0" w:space="0" w:color="auto"/>
                                                                                    <w:right w:val="none" w:sz="0" w:space="0" w:color="auto"/>
                                                                                  </w:divBdr>
                                                                                </w:div>
                                                                                <w:div w:id="174467528">
                                                                                  <w:marLeft w:val="105"/>
                                                                                  <w:marRight w:val="105"/>
                                                                                  <w:marTop w:val="90"/>
                                                                                  <w:marBottom w:val="150"/>
                                                                                  <w:divBdr>
                                                                                    <w:top w:val="none" w:sz="0" w:space="0" w:color="auto"/>
                                                                                    <w:left w:val="none" w:sz="0" w:space="0" w:color="auto"/>
                                                                                    <w:bottom w:val="none" w:sz="0" w:space="0" w:color="auto"/>
                                                                                    <w:right w:val="none" w:sz="0" w:space="0" w:color="auto"/>
                                                                                  </w:divBdr>
                                                                                </w:div>
                                                                                <w:div w:id="1710571297">
                                                                                  <w:marLeft w:val="105"/>
                                                                                  <w:marRight w:val="105"/>
                                                                                  <w:marTop w:val="90"/>
                                                                                  <w:marBottom w:val="150"/>
                                                                                  <w:divBdr>
                                                                                    <w:top w:val="none" w:sz="0" w:space="0" w:color="auto"/>
                                                                                    <w:left w:val="none" w:sz="0" w:space="0" w:color="auto"/>
                                                                                    <w:bottom w:val="none" w:sz="0" w:space="0" w:color="auto"/>
                                                                                    <w:right w:val="none" w:sz="0" w:space="0" w:color="auto"/>
                                                                                  </w:divBdr>
                                                                                </w:div>
                                                                                <w:div w:id="13844348">
                                                                                  <w:marLeft w:val="105"/>
                                                                                  <w:marRight w:val="105"/>
                                                                                  <w:marTop w:val="90"/>
                                                                                  <w:marBottom w:val="150"/>
                                                                                  <w:divBdr>
                                                                                    <w:top w:val="none" w:sz="0" w:space="0" w:color="auto"/>
                                                                                    <w:left w:val="none" w:sz="0" w:space="0" w:color="auto"/>
                                                                                    <w:bottom w:val="none" w:sz="0" w:space="0" w:color="auto"/>
                                                                                    <w:right w:val="none" w:sz="0" w:space="0" w:color="auto"/>
                                                                                  </w:divBdr>
                                                                                </w:div>
                                                                                <w:div w:id="481851854">
                                                                                  <w:marLeft w:val="105"/>
                                                                                  <w:marRight w:val="105"/>
                                                                                  <w:marTop w:val="90"/>
                                                                                  <w:marBottom w:val="150"/>
                                                                                  <w:divBdr>
                                                                                    <w:top w:val="none" w:sz="0" w:space="0" w:color="auto"/>
                                                                                    <w:left w:val="none" w:sz="0" w:space="0" w:color="auto"/>
                                                                                    <w:bottom w:val="none" w:sz="0" w:space="0" w:color="auto"/>
                                                                                    <w:right w:val="none" w:sz="0" w:space="0" w:color="auto"/>
                                                                                  </w:divBdr>
                                                                                </w:div>
                                                                                <w:div w:id="208267273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985815">
          <w:marLeft w:val="0"/>
          <w:marRight w:val="0"/>
          <w:marTop w:val="0"/>
          <w:marBottom w:val="0"/>
          <w:divBdr>
            <w:top w:val="none" w:sz="0" w:space="0" w:color="auto"/>
            <w:left w:val="none" w:sz="0" w:space="0" w:color="auto"/>
            <w:bottom w:val="none" w:sz="0" w:space="0" w:color="auto"/>
            <w:right w:val="none" w:sz="0" w:space="0" w:color="auto"/>
          </w:divBdr>
          <w:divsChild>
            <w:div w:id="722364574">
              <w:marLeft w:val="0"/>
              <w:marRight w:val="0"/>
              <w:marTop w:val="0"/>
              <w:marBottom w:val="0"/>
              <w:divBdr>
                <w:top w:val="none" w:sz="0" w:space="0" w:color="auto"/>
                <w:left w:val="none" w:sz="0" w:space="0" w:color="auto"/>
                <w:bottom w:val="none" w:sz="0" w:space="0" w:color="auto"/>
                <w:right w:val="none" w:sz="0" w:space="0" w:color="auto"/>
              </w:divBdr>
              <w:divsChild>
                <w:div w:id="62281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59239">
      <w:bodyDiv w:val="1"/>
      <w:marLeft w:val="0"/>
      <w:marRight w:val="0"/>
      <w:marTop w:val="0"/>
      <w:marBottom w:val="0"/>
      <w:divBdr>
        <w:top w:val="none" w:sz="0" w:space="0" w:color="auto"/>
        <w:left w:val="none" w:sz="0" w:space="0" w:color="auto"/>
        <w:bottom w:val="none" w:sz="0" w:space="0" w:color="auto"/>
        <w:right w:val="none" w:sz="0" w:space="0" w:color="auto"/>
      </w:divBdr>
    </w:div>
    <w:div w:id="1554348639">
      <w:bodyDiv w:val="1"/>
      <w:marLeft w:val="0"/>
      <w:marRight w:val="0"/>
      <w:marTop w:val="0"/>
      <w:marBottom w:val="0"/>
      <w:divBdr>
        <w:top w:val="none" w:sz="0" w:space="0" w:color="auto"/>
        <w:left w:val="none" w:sz="0" w:space="0" w:color="auto"/>
        <w:bottom w:val="none" w:sz="0" w:space="0" w:color="auto"/>
        <w:right w:val="none" w:sz="0" w:space="0" w:color="auto"/>
      </w:divBdr>
    </w:div>
    <w:div w:id="1690256302">
      <w:bodyDiv w:val="1"/>
      <w:marLeft w:val="0"/>
      <w:marRight w:val="0"/>
      <w:marTop w:val="0"/>
      <w:marBottom w:val="0"/>
      <w:divBdr>
        <w:top w:val="none" w:sz="0" w:space="0" w:color="auto"/>
        <w:left w:val="none" w:sz="0" w:space="0" w:color="auto"/>
        <w:bottom w:val="none" w:sz="0" w:space="0" w:color="auto"/>
        <w:right w:val="none" w:sz="0" w:space="0" w:color="auto"/>
      </w:divBdr>
      <w:divsChild>
        <w:div w:id="88671030">
          <w:marLeft w:val="0"/>
          <w:marRight w:val="0"/>
          <w:marTop w:val="0"/>
          <w:marBottom w:val="0"/>
          <w:divBdr>
            <w:top w:val="none" w:sz="0" w:space="0" w:color="auto"/>
            <w:left w:val="none" w:sz="0" w:space="0" w:color="auto"/>
            <w:bottom w:val="none" w:sz="0" w:space="0" w:color="auto"/>
            <w:right w:val="none" w:sz="0" w:space="0" w:color="auto"/>
          </w:divBdr>
          <w:divsChild>
            <w:div w:id="1100371554">
              <w:marLeft w:val="0"/>
              <w:marRight w:val="0"/>
              <w:marTop w:val="0"/>
              <w:marBottom w:val="0"/>
              <w:divBdr>
                <w:top w:val="single" w:sz="24" w:space="0" w:color="auto"/>
                <w:left w:val="single" w:sz="24" w:space="0" w:color="auto"/>
                <w:bottom w:val="single" w:sz="24" w:space="0" w:color="auto"/>
                <w:right w:val="single" w:sz="24" w:space="0" w:color="auto"/>
              </w:divBdr>
              <w:divsChild>
                <w:div w:id="139994250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85442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hscvntm.hatinh.gov.vn/nongthonmoi/vbden.nsf/str/F293657F2582B0EA47258AE5002A2BE1?OpenDocument" TargetMode="External"/><Relationship Id="rId1" Type="http://schemas.openxmlformats.org/officeDocument/2006/relationships/hyperlink" Target="https://hscvntm.hatinh.gov.vn/nongthonmoi/vbden.nsf/str/F293657F2582B0EA47258AE5002A2BE1?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0F568-9B47-4344-A2C9-718817D7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7986</Words>
  <Characters>45522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 HUE</dc:creator>
  <cp:lastModifiedBy>MTMQ</cp:lastModifiedBy>
  <cp:revision>2</cp:revision>
  <cp:lastPrinted>2025-02-11T07:43:00Z</cp:lastPrinted>
  <dcterms:created xsi:type="dcterms:W3CDTF">2025-03-13T02:04:00Z</dcterms:created>
  <dcterms:modified xsi:type="dcterms:W3CDTF">2025-03-13T02:04:00Z</dcterms:modified>
</cp:coreProperties>
</file>